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D0C" w:rsidRPr="00745217" w:rsidRDefault="00027D0C" w:rsidP="00027D0C">
      <w:pPr>
        <w:rPr>
          <w:sz w:val="27"/>
          <w:szCs w:val="27"/>
        </w:rPr>
      </w:pPr>
      <w:r>
        <w:t xml:space="preserve">                                                                                           </w:t>
      </w:r>
      <w:r w:rsidRPr="00745217">
        <w:rPr>
          <w:sz w:val="27"/>
          <w:szCs w:val="27"/>
        </w:rPr>
        <w:t>Приложение № 2</w:t>
      </w:r>
    </w:p>
    <w:p w:rsidR="00027D0C" w:rsidRPr="00745217" w:rsidRDefault="00027D0C" w:rsidP="00027D0C">
      <w:pPr>
        <w:rPr>
          <w:sz w:val="27"/>
          <w:szCs w:val="27"/>
        </w:rPr>
      </w:pPr>
      <w:r w:rsidRPr="00745217">
        <w:rPr>
          <w:sz w:val="27"/>
          <w:szCs w:val="27"/>
        </w:rPr>
        <w:t xml:space="preserve">                                                                 </w:t>
      </w:r>
      <w:r>
        <w:rPr>
          <w:sz w:val="27"/>
          <w:szCs w:val="27"/>
        </w:rPr>
        <w:t xml:space="preserve">                к постановлению</w:t>
      </w:r>
      <w:r w:rsidRPr="00745217">
        <w:rPr>
          <w:sz w:val="27"/>
          <w:szCs w:val="27"/>
        </w:rPr>
        <w:t xml:space="preserve"> администрации</w:t>
      </w:r>
    </w:p>
    <w:p w:rsidR="00027D0C" w:rsidRPr="00745217" w:rsidRDefault="00027D0C" w:rsidP="00027D0C">
      <w:pPr>
        <w:rPr>
          <w:sz w:val="27"/>
          <w:szCs w:val="27"/>
        </w:rPr>
      </w:pPr>
      <w:r w:rsidRPr="00745217">
        <w:rPr>
          <w:sz w:val="27"/>
          <w:szCs w:val="27"/>
        </w:rPr>
        <w:t xml:space="preserve">                                                                  </w:t>
      </w:r>
      <w:r>
        <w:rPr>
          <w:sz w:val="27"/>
          <w:szCs w:val="27"/>
        </w:rPr>
        <w:t xml:space="preserve">               </w:t>
      </w:r>
      <w:r w:rsidRPr="00745217">
        <w:rPr>
          <w:sz w:val="27"/>
          <w:szCs w:val="27"/>
        </w:rPr>
        <w:t>Манского района</w:t>
      </w:r>
    </w:p>
    <w:p w:rsidR="00027D0C" w:rsidRPr="00027D0C" w:rsidRDefault="00027D0C" w:rsidP="00027D0C">
      <w:pPr>
        <w:rPr>
          <w:sz w:val="27"/>
          <w:szCs w:val="27"/>
          <w:lang w:val="en-US"/>
        </w:rPr>
      </w:pPr>
      <w:r w:rsidRPr="00745217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>от</w:t>
      </w:r>
      <w:r>
        <w:rPr>
          <w:sz w:val="27"/>
          <w:szCs w:val="27"/>
        </w:rPr>
        <w:t xml:space="preserve"> </w:t>
      </w:r>
      <w:r w:rsidRPr="00027D0C">
        <w:rPr>
          <w:sz w:val="27"/>
          <w:szCs w:val="27"/>
        </w:rPr>
        <w:t>22.08.</w:t>
      </w:r>
      <w:r>
        <w:rPr>
          <w:sz w:val="27"/>
          <w:szCs w:val="27"/>
          <w:lang w:val="en-US"/>
        </w:rPr>
        <w:t>2023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>№</w:t>
      </w:r>
      <w:r>
        <w:rPr>
          <w:sz w:val="27"/>
          <w:szCs w:val="27"/>
          <w:lang w:val="en-US"/>
        </w:rPr>
        <w:t>609</w:t>
      </w:r>
      <w:bookmarkStart w:id="0" w:name="_GoBack"/>
      <w:bookmarkEnd w:id="0"/>
    </w:p>
    <w:p w:rsidR="00027D0C" w:rsidRDefault="00027D0C" w:rsidP="00027D0C">
      <w:pPr>
        <w:tabs>
          <w:tab w:val="left" w:pos="709"/>
        </w:tabs>
        <w:ind w:firstLine="709"/>
      </w:pPr>
    </w:p>
    <w:p w:rsidR="00027D0C" w:rsidRPr="00637DAD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                   </w:t>
      </w:r>
      <w:r w:rsidRPr="00637DAD">
        <w:rPr>
          <w:b/>
          <w:bCs/>
          <w:color w:val="000000"/>
          <w:sz w:val="27"/>
          <w:szCs w:val="27"/>
        </w:rPr>
        <w:t xml:space="preserve">Пояснительная записка к Прогнозу социально- экономического </w:t>
      </w:r>
    </w:p>
    <w:p w:rsidR="00027D0C" w:rsidRPr="00637DAD" w:rsidRDefault="00027D0C" w:rsidP="00027D0C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развития Манского района на 2024-2026</w:t>
      </w:r>
      <w:r w:rsidRPr="00637DAD">
        <w:rPr>
          <w:b/>
          <w:bCs/>
          <w:color w:val="000000"/>
          <w:sz w:val="27"/>
          <w:szCs w:val="27"/>
        </w:rPr>
        <w:t xml:space="preserve"> </w:t>
      </w:r>
      <w:proofErr w:type="spellStart"/>
      <w:r w:rsidRPr="00637DAD">
        <w:rPr>
          <w:b/>
          <w:bCs/>
          <w:color w:val="000000"/>
          <w:sz w:val="27"/>
          <w:szCs w:val="27"/>
        </w:rPr>
        <w:t>г.г</w:t>
      </w:r>
      <w:proofErr w:type="spellEnd"/>
      <w:r w:rsidRPr="00637DAD">
        <w:rPr>
          <w:b/>
          <w:bCs/>
          <w:color w:val="000000"/>
          <w:sz w:val="27"/>
          <w:szCs w:val="27"/>
        </w:rPr>
        <w:t>.</w:t>
      </w:r>
    </w:p>
    <w:p w:rsidR="00027D0C" w:rsidRPr="00AF343D" w:rsidRDefault="00027D0C" w:rsidP="00027D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1. Общие сведения о муниципальном образовании</w:t>
      </w:r>
    </w:p>
    <w:p w:rsidR="00027D0C" w:rsidRPr="00AF343D" w:rsidRDefault="00027D0C" w:rsidP="00027D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709"/>
        <w:jc w:val="both"/>
        <w:rPr>
          <w:rFonts w:ascii="Times New Roman CYR" w:hAnsi="Times New Roman CYR" w:cs="Times New Roman CYR"/>
          <w:color w:val="FF0000"/>
          <w:sz w:val="27"/>
          <w:szCs w:val="27"/>
        </w:rPr>
      </w:pPr>
      <w:r>
        <w:rPr>
          <w:sz w:val="27"/>
          <w:szCs w:val="27"/>
        </w:rPr>
        <w:t xml:space="preserve">  </w:t>
      </w:r>
      <w:r>
        <w:rPr>
          <w:rFonts w:ascii="Times New Roman CYR" w:hAnsi="Times New Roman CYR" w:cs="Times New Roman CYR"/>
          <w:sz w:val="27"/>
          <w:szCs w:val="27"/>
        </w:rPr>
        <w:t xml:space="preserve">Манский район как самостоятельное территориальное образование основан в 1924 году и входит в состав Красноярского края Российской Федерации. Границы и статус определены Законом Красноярского края от 24.12.2004 № 13-2864 «Об установлении границ и наделении соответствующим статусом муниципального образования Манский район и находящихся в его границах иных муниципальных образований». Центром района является село Шалинское, расположенное на расстоянии 97 км от краевого центра и 15 км от железнодорожной станции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Красноярской железной дороги. 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Манский район расположен в центральной части Красноярского края, находится на юго-востоке от краевого центра, в бассейне правых притоков Енисея, самым </w:t>
      </w:r>
      <w:proofErr w:type="gramStart"/>
      <w:r>
        <w:rPr>
          <w:rFonts w:ascii="Times New Roman CYR" w:hAnsi="Times New Roman CYR" w:cs="Times New Roman CYR"/>
          <w:sz w:val="27"/>
          <w:szCs w:val="27"/>
        </w:rPr>
        <w:t>крупным</w:t>
      </w:r>
      <w:proofErr w:type="gramEnd"/>
      <w:r>
        <w:rPr>
          <w:rFonts w:ascii="Times New Roman CYR" w:hAnsi="Times New Roman CYR" w:cs="Times New Roman CYR"/>
          <w:sz w:val="27"/>
          <w:szCs w:val="27"/>
        </w:rPr>
        <w:t xml:space="preserve"> из которых является река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 Это главная река района, от которой он и получил свое название. Кроме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Маны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в районе имеется большое количество рек, озер и искусственных водоемов.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Юго-западная часть территории Манского района входит в возвышенный и предгорный южно-таёжный округ, северо-восточная часть входит в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Канский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лесостепной округ. Большая часть территории расположена в таежных предгорьях Восточных Саян. Протяжённость района с севера на юг 197 км. Наиболее удаленными от районного центра поселениями являются: на северной границе – д. Сергеевка (37 км) и на южной границе д.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Жайма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(126 км). Площадь района 5,979 тыс. кв. </w:t>
      </w:r>
      <w:proofErr w:type="gramStart"/>
      <w:r>
        <w:rPr>
          <w:rFonts w:ascii="Times New Roman CYR" w:hAnsi="Times New Roman CYR" w:cs="Times New Roman CYR"/>
          <w:sz w:val="27"/>
          <w:szCs w:val="27"/>
        </w:rPr>
        <w:t>км.,</w:t>
      </w:r>
      <w:proofErr w:type="gramEnd"/>
      <w:r>
        <w:rPr>
          <w:rFonts w:ascii="Times New Roman CYR" w:hAnsi="Times New Roman CYR" w:cs="Times New Roman CYR"/>
          <w:sz w:val="27"/>
          <w:szCs w:val="27"/>
        </w:rPr>
        <w:t xml:space="preserve"> из них 3857 кв. км. составляют земли лесного фонда. С северо-западной стороны Манский район граничит с Березовским, c западной – с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Балахтинским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, c южной – с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Курагинским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, c восточной – с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Уярским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и Партизанским районами.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В границах</w:t>
      </w:r>
      <w:r>
        <w:rPr>
          <w:rFonts w:ascii="Times New Roman CYR" w:hAnsi="Times New Roman CYR" w:cs="Times New Roman CYR"/>
          <w:i/>
          <w:iCs/>
          <w:sz w:val="27"/>
          <w:szCs w:val="27"/>
        </w:rPr>
        <w:t xml:space="preserve"> </w:t>
      </w:r>
      <w:r>
        <w:rPr>
          <w:rFonts w:ascii="Times New Roman CYR" w:hAnsi="Times New Roman CYR" w:cs="Times New Roman CYR"/>
          <w:sz w:val="27"/>
          <w:szCs w:val="27"/>
        </w:rPr>
        <w:t>Манского района расположена сеть территориальных автомобильных дорог, автодороги федерального значения «Москва – Владивосток», краевого значения «Красноярск – Курагино», железнодорожные магистрали «Москва – Владивосток» и «Красноярск – Абакан». Вдоль северо-восточной границы района, на некоторых участках его территории, расположена трасса железной дороги «Абакан — Тайшет». Северную часть района пересекают федеральная автодорога М-53 «Байкал» и Транссибирская железнодорожная магистраль. Ближайший аэропорт - Емельяново (140 км).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Климат района резко-континентальный с холодной зимой и коротким жарким летом.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Основная часть территории расположена в прохладном и умеренно-прохладном и умеренно-влажном подрайоне.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Гидротермический коэффициент довольно благоприятен для земледелия.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В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Манском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районе известны месторождения: бурого угля, торфа, свинца и цинка, россыпного золота, флюсовых известняков, глин и суглинков легкоплавких для кирпича, глин тугоплавких для строительных изделий, песков стекольных, </w:t>
      </w:r>
      <w:r>
        <w:rPr>
          <w:rFonts w:ascii="Times New Roman CYR" w:hAnsi="Times New Roman CYR" w:cs="Times New Roman CYR"/>
          <w:sz w:val="27"/>
          <w:szCs w:val="27"/>
        </w:rPr>
        <w:lastRenderedPageBreak/>
        <w:t xml:space="preserve">песчано-гравийных материалов, строительного камня, карбонатных пород для строительной извести, грунтов. Проявления представлены: бурым углем, торфом, железом, свинцом и цинком, ртутью, золотом, серебром, ураном, кварцем оптическим,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фоcфоритом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, точильными камнями, турмалином, глинами и суглинками легкоплавкими для кирпича, строительными камнями, облицовочными камнями, карбонатными породами для строительной извести, известняками для цемента, сырьем для производства минеральной ваты, сапропелями. Осуществляется водозабор пресных вод из одиночных и кустовых скважин для хозяйственно-питьевого и производственно-технического водоснабжения населенных пунктов.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851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В настоящее время на территории района геологоразведочные работы ведутся. Добыча полезных ископаемых на территории Манского района выполняется по 15 лицензиям 10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недропользователями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.</w:t>
      </w:r>
    </w:p>
    <w:p w:rsidR="00027D0C" w:rsidRDefault="00027D0C" w:rsidP="00027D0C">
      <w:pPr>
        <w:autoSpaceDE w:val="0"/>
        <w:autoSpaceDN w:val="0"/>
        <w:adjustRightInd w:val="0"/>
        <w:ind w:left="-284" w:firstLine="851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Численность постоянно проживающего населения на территории района по статистическим данным на 01.01.2022 год составляет 15,061 тыс. человек. Более 70% населения проживает на территории 5 сельских советов (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Шалинский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сельсовет – 4681 человек,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Первоманский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сельсовет – 2151 человек,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сельсовет – 2574 человек, Каменский сельсовет – 1362человека,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Нарвинский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сельсовет – 1193 человек), 81% населения проживает в 11 поселках с населением более 400 человек, 1,17% проживает в 14 поселках с населением менее 70 человек.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-284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  Плотность расселения крайне неравномерна. Средняя плотность населения на 1 км. – 3,1 человека.</w:t>
      </w:r>
    </w:p>
    <w:p w:rsidR="00027D0C" w:rsidRPr="002D511E" w:rsidRDefault="00027D0C" w:rsidP="00027D0C">
      <w:pPr>
        <w:tabs>
          <w:tab w:val="left" w:pos="709"/>
        </w:tabs>
        <w:autoSpaceDE w:val="0"/>
        <w:autoSpaceDN w:val="0"/>
        <w:adjustRightInd w:val="0"/>
        <w:ind w:left="-284" w:firstLine="851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На территории района действует 11 муниципальных образований, в состав которых входят 45 населенных пунктов. Наиболее крупные – с.    Шалинское, п.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, п. Первоманск, с. Нарва, с. Нижняя Есауловка и п.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Колбинский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.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2. Промышленность</w:t>
      </w:r>
    </w:p>
    <w:p w:rsidR="00027D0C" w:rsidRPr="00AF343D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Default="00027D0C" w:rsidP="00027D0C">
      <w:pPr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Основным видом промышленного производства в 2022 году в районе было производство тепловой энергии.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spacing w:before="100" w:after="100"/>
        <w:ind w:hanging="284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  </w:t>
      </w:r>
      <w:r>
        <w:rPr>
          <w:rFonts w:ascii="Times New Roman CYR" w:hAnsi="Times New Roman CYR" w:cs="Times New Roman CYR"/>
          <w:sz w:val="27"/>
          <w:szCs w:val="27"/>
        </w:rPr>
        <w:tab/>
        <w:t>Производством тепловой энергии занимаются ООО "Жилпрогресс 1", ООО «Коммунальное хозяйство», МУП ЖКХ «Нижне-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Есауловское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», ООО "Атланта Красноярск".  Объем отгруженных товаров собственного производства, выполненных работ и услуг собственными силами организаций по хозяйственным видам деятельности в 2022 году составил 13646 тыс. руб., что на 2733 тыс. руб. больше по сравнению с 2021 годом.  В последующие годы объем отгруженных товаров собственного производства будет незначительно увеличиваться: в 2023 году-14328,0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тыс.руб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., в 2024году-15044,0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тыс.руб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 и к 2026 году достигнет 16586,0 тыс. руб. 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spacing w:before="100" w:after="100"/>
        <w:ind w:hanging="284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   На территории района лесная отрасль представлена организацией КГБУ "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Манское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лесничество"</w:t>
      </w:r>
      <w:r w:rsidRPr="002D511E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>
        <w:rPr>
          <w:rFonts w:ascii="Times New Roman CYR" w:hAnsi="Times New Roman CYR" w:cs="Times New Roman CYR"/>
          <w:sz w:val="27"/>
          <w:szCs w:val="27"/>
        </w:rPr>
        <w:t>Организация продает саженцы</w:t>
      </w:r>
      <w:r w:rsidRPr="002D511E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>
        <w:rPr>
          <w:rFonts w:ascii="Times New Roman CYR" w:hAnsi="Times New Roman CYR" w:cs="Times New Roman CYR"/>
          <w:sz w:val="27"/>
          <w:szCs w:val="27"/>
        </w:rPr>
        <w:t>древесину и сеянцы</w:t>
      </w:r>
      <w:r w:rsidRPr="002D511E">
        <w:rPr>
          <w:sz w:val="27"/>
          <w:szCs w:val="27"/>
        </w:rPr>
        <w:t>.</w:t>
      </w:r>
      <w:r>
        <w:rPr>
          <w:rFonts w:ascii="Times New Roman CYR" w:hAnsi="Times New Roman CYR" w:cs="Times New Roman CYR"/>
          <w:sz w:val="27"/>
          <w:szCs w:val="27"/>
        </w:rPr>
        <w:t xml:space="preserve"> 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разделу А-02 «Лесоводство и лесозаготовки» в 2022 году составил 1635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lastRenderedPageBreak/>
        <w:t>тыс.руб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 В дальнейшем объем будет незначительно увеличиваться, в 2023 году составит 2186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тыс.руб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., к 2026 году 2300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тыс.руб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.</w:t>
      </w:r>
    </w:p>
    <w:p w:rsidR="00027D0C" w:rsidRPr="002D511E" w:rsidRDefault="00027D0C" w:rsidP="00027D0C">
      <w:pPr>
        <w:tabs>
          <w:tab w:val="left" w:pos="709"/>
        </w:tabs>
        <w:autoSpaceDE w:val="0"/>
        <w:autoSpaceDN w:val="0"/>
        <w:adjustRightInd w:val="0"/>
        <w:spacing w:before="100" w:after="100"/>
        <w:ind w:hanging="284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3. Сельское хозяйство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В районе 2 сельскохозяйственных организации. Число прибыльных сельскохозяйственных организаций в 2022 году составило 2.  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A-01: Растениеводство и животноводство, охота и предоставление услуг в этих областях в 2022 году составил 155 470,00 тысяч рублей. В последующие годы объем отгруженных товаров будет увеличиваться и к 2026 году составит 210 284,90 тысяч рублей.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 в 2022 году составил 113,0%.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 в 2022 году составил 155 326,00 тысяч рублей, в последующие годы объем отгруженных товаров будет увеличиваться и в 2026 году составит 210 090,10 тысяч рублей. 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Индекс производства, к соответствующему периоду предыдущего года - Раздел A: Сельское, лесное хозяйство, охота, рыболовство и рыбоводство в 2022 году составил 113,41 %, в 2026 году будет составлять 104,40 %.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Объем инвестиций в основной капитал за счет всех источников финансирования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 в 2022 году составил 45 980,00 тысяч рублей.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Площадь сельскохозяйственных угодий в составе земель сельскохозяйственного назначения в районе - 70757 га. В 2022 году площадь обрабатываемой пашни составила 11401 га. 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Хозяйствами по закону о Государственной поддержке сельхозпроизводителям привлечено федеральных и региональных субсидий: 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  <w:highlight w:val="yellow"/>
        </w:rPr>
      </w:pPr>
    </w:p>
    <w:tbl>
      <w:tblPr>
        <w:tblW w:w="925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433"/>
        <w:gridCol w:w="3147"/>
        <w:gridCol w:w="2410"/>
        <w:gridCol w:w="2268"/>
      </w:tblGrid>
      <w:tr w:rsidR="00027D0C" w:rsidTr="00D42A3A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>год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>Итого субсидий (тыс. руб.)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Субсидии из федерального бюджета</w:t>
            </w:r>
          </w:p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(тыс. руб.)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Субсидии из краевого бюджета </w:t>
            </w:r>
          </w:p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(тыс. руб.)</w:t>
            </w:r>
          </w:p>
        </w:tc>
      </w:tr>
      <w:tr w:rsidR="00027D0C" w:rsidTr="00D42A3A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lastRenderedPageBreak/>
              <w:t>2022 год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>28 431,98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2 554,649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25 877,33</w:t>
            </w:r>
          </w:p>
        </w:tc>
      </w:tr>
    </w:tbl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7"/>
          <w:szCs w:val="27"/>
        </w:rPr>
        <w:t>В 2022 году три молодые семьи в соответствии со статьей 103 Устава Красноярского края, статьей 27, Закона Красноярского края от 21.02.2006 N 17-4487 «О государственной поддержке   субъектов   агропромышленного комплекса края», получили социальную выплату на строительство жилья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3.1. Растениеводство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Default="00027D0C" w:rsidP="00027D0C">
      <w:pPr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Площадь сельскохозяйственных угодий в составе земель сельскохозяйственного назначения в районе - 70757 га. В 2022 году площадь обрабатываемой пашни составила 11401 га, посевная площадь зерновых в районе составила 3 553,8 га. 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Производство зерна (в весе после доработки) в 2022 году составило          7 632,02 тонн, урожайность зерновых культур – 21,48 ц/га. К 2026 году производстве зерновых должно составить 7 754,80 тонн.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Производство картофеля в предприятиях и КФХ района составило            19 971,55 тонн, урожайность – 216,55 ц/га. К 2026 году планируется увеличение сбора картофеля до 20 292,85 тонн.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3.2 Животноводство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Разведением крупного рогатого скота в районе занимается два хозяйства ООО «Агрохолдинг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» и ИП Глава КФХ Зотин А.В. Поголовье крупного рогатого скота на конец 2022 года в этих организациях составило 1904 голов, в том числе коров 863 голов. Среднесуточный привес КРС составляет 750 гр. 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spacing w:line="252" w:lineRule="auto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Надой молока на одну корову (на среднее поголовье) в 2022 году составил 5713 кг. В целом увеличение производства животноводческой продукции в хозяйствах, состоящих в реестре субъектов АПК на территории района планируется к концу 2026 года: мяса всех видов - 1240 тонн, молока – 9318 тонн.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4. Строительство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8D0A29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8D0A29">
        <w:rPr>
          <w:sz w:val="27"/>
          <w:szCs w:val="27"/>
        </w:rPr>
        <w:t>Объем строительно-монтажных работ, выполненных подрядным способом по полному кругу организаций в 2022 году, составил 532616,8 тысяч рублей.</w:t>
      </w:r>
    </w:p>
    <w:p w:rsidR="00027D0C" w:rsidRPr="008D0A29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8D0A29">
        <w:rPr>
          <w:sz w:val="27"/>
          <w:szCs w:val="27"/>
        </w:rPr>
        <w:t>Темп роста строительно-монтажных работ, выполненных подрядным способом по полному кругу организаций в 2022 году к 2021 году составил 198,03 %.</w:t>
      </w:r>
    </w:p>
    <w:p w:rsidR="00027D0C" w:rsidRPr="008D0A29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8D0A29">
        <w:rPr>
          <w:sz w:val="27"/>
          <w:szCs w:val="27"/>
        </w:rPr>
        <w:t xml:space="preserve">      На территории района зарегистрирована одна строительная организация ООО "</w:t>
      </w:r>
      <w:proofErr w:type="spellStart"/>
      <w:r w:rsidRPr="008D0A29">
        <w:rPr>
          <w:sz w:val="27"/>
          <w:szCs w:val="27"/>
        </w:rPr>
        <w:t>Кайрос</w:t>
      </w:r>
      <w:proofErr w:type="spellEnd"/>
      <w:r w:rsidRPr="008D0A29">
        <w:rPr>
          <w:sz w:val="27"/>
          <w:szCs w:val="27"/>
        </w:rPr>
        <w:t xml:space="preserve">", которая производит строительно-монтажные работы на территории. </w:t>
      </w:r>
    </w:p>
    <w:p w:rsidR="00027D0C" w:rsidRPr="008D0A29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8D0A29">
        <w:rPr>
          <w:sz w:val="27"/>
          <w:szCs w:val="27"/>
        </w:rPr>
        <w:t xml:space="preserve">      В жилищном строительстве в районе преобладает частное строительство.  В 2022 году введено в эксплуатацию 8358 квадратных метров жилья.</w:t>
      </w:r>
    </w:p>
    <w:p w:rsidR="00027D0C" w:rsidRPr="008D0A29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8D0A29">
        <w:rPr>
          <w:sz w:val="27"/>
          <w:szCs w:val="27"/>
        </w:rPr>
        <w:t xml:space="preserve">      В 2023 году общая площадь жилых домов, введенных в эксплуатацию значительно уменьшится из-за удорожания строительных материалов и составит 8200 </w:t>
      </w:r>
      <w:proofErr w:type="spellStart"/>
      <w:r w:rsidRPr="008D0A29">
        <w:rPr>
          <w:sz w:val="27"/>
          <w:szCs w:val="27"/>
        </w:rPr>
        <w:t>кв.м</w:t>
      </w:r>
      <w:proofErr w:type="spellEnd"/>
      <w:r w:rsidRPr="008D0A29">
        <w:rPr>
          <w:sz w:val="27"/>
          <w:szCs w:val="27"/>
        </w:rPr>
        <w:t xml:space="preserve">. В последующие годы незначительно увеличится по отношению к 2022 году и составит 8500 </w:t>
      </w:r>
      <w:proofErr w:type="spellStart"/>
      <w:r w:rsidRPr="008D0A29">
        <w:rPr>
          <w:sz w:val="27"/>
          <w:szCs w:val="27"/>
        </w:rPr>
        <w:t>кв.м</w:t>
      </w:r>
      <w:proofErr w:type="spellEnd"/>
      <w:r w:rsidRPr="008D0A29">
        <w:rPr>
          <w:sz w:val="27"/>
          <w:szCs w:val="27"/>
        </w:rPr>
        <w:t xml:space="preserve">. в 2026 году. Темп роста, соответственно составит </w:t>
      </w:r>
      <w:r w:rsidRPr="008D0A29">
        <w:rPr>
          <w:sz w:val="27"/>
          <w:szCs w:val="27"/>
        </w:rPr>
        <w:lastRenderedPageBreak/>
        <w:t xml:space="preserve">101,19% в 2026 году. </w:t>
      </w:r>
    </w:p>
    <w:p w:rsidR="00027D0C" w:rsidRPr="00AF343D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8D0A29">
        <w:rPr>
          <w:sz w:val="27"/>
          <w:szCs w:val="27"/>
        </w:rPr>
        <w:t xml:space="preserve">      Общая площадь жилых домов, введенных в эксплуатацию за счет всех источников финансирования, приходящаяся на 1 человека населения в 2022 году составил 0,61 </w:t>
      </w:r>
      <w:proofErr w:type="spellStart"/>
      <w:r w:rsidRPr="008D0A29">
        <w:rPr>
          <w:sz w:val="27"/>
          <w:szCs w:val="27"/>
        </w:rPr>
        <w:t>кв.м</w:t>
      </w:r>
      <w:proofErr w:type="spellEnd"/>
      <w:r w:rsidRPr="008D0A29">
        <w:rPr>
          <w:sz w:val="27"/>
          <w:szCs w:val="27"/>
        </w:rPr>
        <w:t xml:space="preserve">., в 2023 году составит 0,62 </w:t>
      </w:r>
      <w:proofErr w:type="spellStart"/>
      <w:r w:rsidRPr="008D0A29">
        <w:rPr>
          <w:sz w:val="27"/>
          <w:szCs w:val="27"/>
        </w:rPr>
        <w:t>кв.м</w:t>
      </w:r>
      <w:proofErr w:type="spellEnd"/>
      <w:r w:rsidRPr="008D0A29">
        <w:rPr>
          <w:sz w:val="27"/>
          <w:szCs w:val="27"/>
        </w:rPr>
        <w:t xml:space="preserve">., к 2026 году незначительно увеличится и составит 0,66 </w:t>
      </w:r>
      <w:proofErr w:type="spellStart"/>
      <w:r w:rsidRPr="008D0A29">
        <w:rPr>
          <w:sz w:val="27"/>
          <w:szCs w:val="27"/>
        </w:rPr>
        <w:t>кв.м</w:t>
      </w:r>
      <w:proofErr w:type="spellEnd"/>
      <w:r w:rsidRPr="008D0A29">
        <w:rPr>
          <w:sz w:val="27"/>
          <w:szCs w:val="27"/>
        </w:rPr>
        <w:t>. Это связано с уменьшением общей площади жилых домов, введенных в эксплуатацию, а также с естественной убылью населения к 2026 году.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4.1. Жилищное строительство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sz w:val="27"/>
          <w:szCs w:val="27"/>
        </w:rPr>
        <w:t xml:space="preserve">      </w:t>
      </w:r>
      <w:r>
        <w:rPr>
          <w:rFonts w:ascii="Times New Roman CYR" w:hAnsi="Times New Roman CYR" w:cs="Times New Roman CYR"/>
          <w:sz w:val="27"/>
          <w:szCs w:val="27"/>
        </w:rPr>
        <w:t>В жилищном строительстве в районе преобладает частное строительство. За 2022 год общая площадь жилых домов, введенных в эксплуатацию за счет всех источников финансирования составила 8958 квадратных метров, в 2021 году 8238 квадратных метров.</w:t>
      </w:r>
    </w:p>
    <w:p w:rsidR="00027D0C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В 2023 году общая площадь жилых домов, введенных в эксплуатацию уменьшится из-за удорожания строительных материалов и составит 8200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кв.м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 В последующие годы незначительно увеличится по отношению к 2022 году и составит 8500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кв.м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 в 2026 году. В основном, строительство ведется в районном центре.  </w:t>
      </w:r>
    </w:p>
    <w:p w:rsidR="00027D0C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Темп роста объема строительно-монтажных работ, выполненных подрядным способом по полному кругу организаций, в сопоставимых ценах, к соответствующему периоду предыдущего года составил 101,46% по отношению к 2021 году.</w:t>
      </w:r>
    </w:p>
    <w:p w:rsidR="00027D0C" w:rsidRDefault="00027D0C" w:rsidP="00027D0C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sz w:val="16"/>
          <w:szCs w:val="16"/>
        </w:rPr>
      </w:pPr>
    </w:p>
    <w:p w:rsidR="00027D0C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Общая площадь жилых домов, введенных в эксплуатацию за счет всех источников финансирования, приходящаяся на 1 человека населения в 2022 году составил 0,61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кв.м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., в 2023 году составит 0,61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кв.м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., к 2026 году незначительно увеличится и составит 0,66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кв.м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. Общая площадь жилых домов, введенных в эксплуатацию за счет внебюджетных средств 8358 квадратных метров. В 2026 году составит 8500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кв.м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.</w:t>
      </w:r>
    </w:p>
    <w:p w:rsidR="00027D0C" w:rsidRPr="002D511E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Общая площадь жилых домов, введенных в эксплуатацию за счет средств бюджета муниципального образования 2022 году составила 0 кв. м., к 2026 году показатель не изменится.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5. Инвестиции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8E3901" w:rsidRDefault="00027D0C" w:rsidP="00027D0C">
      <w:pPr>
        <w:tabs>
          <w:tab w:val="left" w:pos="851"/>
        </w:tabs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z w:val="27"/>
          <w:szCs w:val="27"/>
        </w:rPr>
      </w:pPr>
      <w:r w:rsidRPr="008E3901">
        <w:rPr>
          <w:rFonts w:ascii="Times New Roman CYR" w:hAnsi="Times New Roman CYR" w:cs="Times New Roman CYR"/>
          <w:sz w:val="27"/>
          <w:szCs w:val="27"/>
        </w:rPr>
        <w:t xml:space="preserve">Одним из показателей, характеризующих развитие экономики муниципального образования, является показатель инвестиционной активности - объем инвестиций в основной капитал. Изменился состав источников инвестиций. Наблюдается зависимость капиталовложений за счет привлеченных средств организаций, от собственных средств предприятий и индивидуальных предпринимателей. </w:t>
      </w:r>
    </w:p>
    <w:p w:rsidR="00027D0C" w:rsidRPr="008E3901" w:rsidRDefault="00027D0C" w:rsidP="00027D0C">
      <w:pPr>
        <w:shd w:val="clear" w:color="auto" w:fill="FFFFFF"/>
        <w:autoSpaceDE w:val="0"/>
        <w:autoSpaceDN w:val="0"/>
        <w:adjustRightInd w:val="0"/>
        <w:ind w:firstLine="646"/>
        <w:jc w:val="both"/>
        <w:rPr>
          <w:rFonts w:ascii="Times New Roman CYR" w:hAnsi="Times New Roman CYR" w:cs="Times New Roman CYR"/>
          <w:sz w:val="27"/>
          <w:szCs w:val="27"/>
        </w:rPr>
      </w:pPr>
      <w:r w:rsidRPr="008E3901">
        <w:rPr>
          <w:rFonts w:ascii="Times New Roman CYR" w:hAnsi="Times New Roman CYR" w:cs="Times New Roman CYR"/>
          <w:sz w:val="27"/>
          <w:szCs w:val="27"/>
        </w:rPr>
        <w:t xml:space="preserve">Объем инвестиций в основной капитал за счет всех источников финансирования по полному кругу хозяйствующих субъектов в 2022 году составил 757759,0 тысяч рублей, в 2021 году составил 212810,0 тысяч рублей. В 2022 году объем инвестиций выше предыдущего года на 544949,0 тысяч рублей </w:t>
      </w:r>
      <w:r w:rsidRPr="008E3901">
        <w:rPr>
          <w:rFonts w:ascii="Times New Roman CYR" w:hAnsi="Times New Roman CYR" w:cs="Times New Roman CYR"/>
          <w:sz w:val="27"/>
          <w:szCs w:val="27"/>
        </w:rPr>
        <w:lastRenderedPageBreak/>
        <w:t xml:space="preserve">за счет увеличения объемов инвестиций в области образования и деятельности в области культуры и спорта. </w:t>
      </w:r>
    </w:p>
    <w:p w:rsidR="00027D0C" w:rsidRPr="008E3901" w:rsidRDefault="00027D0C" w:rsidP="00027D0C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sz w:val="27"/>
          <w:szCs w:val="27"/>
        </w:rPr>
      </w:pPr>
      <w:r w:rsidRPr="008E3901">
        <w:rPr>
          <w:rFonts w:ascii="Times New Roman CYR" w:hAnsi="Times New Roman CYR" w:cs="Times New Roman CYR"/>
          <w:sz w:val="27"/>
          <w:szCs w:val="27"/>
        </w:rPr>
        <w:t xml:space="preserve">   </w:t>
      </w:r>
      <w:r>
        <w:rPr>
          <w:rFonts w:ascii="Times New Roman CYR" w:hAnsi="Times New Roman CYR" w:cs="Times New Roman CYR"/>
          <w:sz w:val="27"/>
          <w:szCs w:val="27"/>
        </w:rPr>
        <w:t>Об</w:t>
      </w:r>
      <w:r w:rsidRPr="008E3901">
        <w:rPr>
          <w:rFonts w:ascii="Times New Roman CYR" w:hAnsi="Times New Roman CYR" w:cs="Times New Roman CYR"/>
          <w:sz w:val="27"/>
          <w:szCs w:val="27"/>
        </w:rPr>
        <w:t xml:space="preserve">ъем инвестиций в основной капитал за счет всех источников финансирования (без субъектов малого предпринимательства) в 2022 году составил 654812,0 тыс. руб., в 2021 году составил 160820,0 тыс. руб., увеличение составило 407%.  Наибольший удельный вес в структуре видов экономической деятельности приходится на «Образование», 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«Сельское, лесное хозяйство, охота, рыболовство, рыбоводство», </w:t>
      </w:r>
      <w:r w:rsidRPr="008E3901">
        <w:rPr>
          <w:rFonts w:ascii="Times New Roman CYR" w:hAnsi="Times New Roman CYR" w:cs="Times New Roman CYR"/>
          <w:sz w:val="27"/>
          <w:szCs w:val="27"/>
        </w:rPr>
        <w:t xml:space="preserve">«Деятельность в области культуры, спорта, организации досуга и развлечений». В 2023 году прогнозируется увеличение объема инвестиций за счет разделов Р «Образование», R «Деятельность в области культуры, спорта, организации досуга и развлечений», </w:t>
      </w:r>
      <w:r>
        <w:rPr>
          <w:rFonts w:ascii="Times New Roman CYR" w:hAnsi="Times New Roman CYR" w:cs="Times New Roman CYR"/>
          <w:spacing w:val="-1"/>
          <w:sz w:val="27"/>
          <w:szCs w:val="27"/>
        </w:rPr>
        <w:t>c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«Сельское, лесное хозяйство, охота, рыболовство, рыбоводство»</w:t>
      </w:r>
      <w:r w:rsidRPr="008E3901">
        <w:rPr>
          <w:rFonts w:ascii="Times New Roman CYR" w:hAnsi="Times New Roman CYR" w:cs="Times New Roman CYR"/>
          <w:sz w:val="27"/>
          <w:szCs w:val="27"/>
        </w:rPr>
        <w:t xml:space="preserve"> и составит 554853,9 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 xml:space="preserve">. Идет строительство школы на 165 учащихся в 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с.Нарва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 xml:space="preserve">, заканчивается строительство образовательного центра на 50 учащихся с дошкольными группами на 30 мест в с. Тертеж и быстровозводимой крытой спортивной площадки в 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с.Шалинское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 xml:space="preserve">. В 2024 году планируется уменьшение объема инвестиций - 155720,0 тыс. руб., уменьшение произойдет по отношению к 2022 году за счет уменьшения объема инвестиций по разделам Р «Образование», R «Деятельность в области культуры, спорта, организации досуга и развлечений», в связи с окончанием строительства крупных объектов. Начиная с 2024 года будет рост объема инвестиций по разделу Q «Деятельность в области здравоохранения и социальных услуг», связано с началом реконструкции здания поликлиники в с. Шалинское. В дальнейшем объем инвестиций будет уменьшаться и составит в 2025 году - 105684,0 тыс. руб., в 2026 году-81100 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 xml:space="preserve">. В 2023 году будет завершено финансирование значимых объектов из краевого бюджета по разделам Р «Образование», R «Деятельность в области культуры, спорта, организации досуга и развлечений», Q «Деятельность в области здравоохранения и социальных услуг». </w:t>
      </w:r>
    </w:p>
    <w:p w:rsidR="00027D0C" w:rsidRPr="008E3901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 w:rsidRPr="008E3901">
        <w:rPr>
          <w:rFonts w:ascii="Times New Roman CYR" w:hAnsi="Times New Roman CYR" w:cs="Times New Roman CYR"/>
          <w:color w:val="000000"/>
          <w:sz w:val="27"/>
          <w:szCs w:val="27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 за 2022 год составило 76150,0 тыс. руб.,</w:t>
      </w:r>
      <w:r w:rsidRPr="008E3901">
        <w:rPr>
          <w:rFonts w:ascii="Times New Roman CYR" w:hAnsi="Times New Roman CYR" w:cs="Times New Roman CYR"/>
          <w:sz w:val="27"/>
          <w:szCs w:val="27"/>
        </w:rPr>
        <w:t xml:space="preserve"> увеличение по отношению к 2021 году произошло за счет предприятия ООО «Агрохолдинг 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 xml:space="preserve">», которое в 2022 году увеличило объем инвестиций путем увеличения поголовья КРС, приобретением новой сельскохозяйственной техники, провело реконструкцию 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сельхозобъектов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>. В 2023 году объем инвестиций составит 58571 тыс. руб. Запланирована реконструкция двух коровников на 200 голов общей суммой 25000 тыс. руб., строительство телятника на 10000 тыс. руб. и приобретение уборочной техники.</w:t>
      </w:r>
      <w:r w:rsidRPr="008E3901">
        <w:rPr>
          <w:rFonts w:ascii="Times New Roman CYR" w:hAnsi="Times New Roman CYR" w:cs="Times New Roman CYR"/>
          <w:color w:val="000000"/>
          <w:sz w:val="27"/>
          <w:szCs w:val="27"/>
        </w:rPr>
        <w:t xml:space="preserve"> С 2023 года объем инвестиций уменьшится и в 2026 году составит 15115,0 тыс. руб.</w:t>
      </w:r>
    </w:p>
    <w:p w:rsidR="00027D0C" w:rsidRPr="008E3901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pacing w:val="-1"/>
          <w:sz w:val="27"/>
          <w:szCs w:val="27"/>
        </w:rPr>
      </w:pPr>
      <w:r>
        <w:rPr>
          <w:rFonts w:ascii="Times New Roman CYR" w:hAnsi="Times New Roman CYR" w:cs="Times New Roman CYR"/>
          <w:spacing w:val="-1"/>
          <w:sz w:val="27"/>
          <w:szCs w:val="27"/>
        </w:rPr>
        <w:t xml:space="preserve">           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 в 2022 году составил 9891,0 тыс. руб., в 2021 году составил 20952 тыс. руб.: на предприятии ООО «Жилпрогресс» в 2021 году была произведена частичная замена котельного оборудования, реконструкция сетей.  В последующие годы объем инвестиций останется на 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lastRenderedPageBreak/>
        <w:t>уровне 1400-1830 тыс. руб., так как не планируется больших вложений в данную отрасль, будут проводится текущие ремонты тепловых сетей и существующих котельных.</w:t>
      </w:r>
    </w:p>
    <w:p w:rsidR="00027D0C" w:rsidRPr="008E3901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FFFFFF"/>
          <w:spacing w:val="-1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spacing w:val="-1"/>
          <w:sz w:val="27"/>
          <w:szCs w:val="27"/>
        </w:rPr>
        <w:t xml:space="preserve">          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Объем инвестиций по разделу G торговля в 2022 году составил 15260 тыс. руб., увеличился по отношению к 2021 году на 12726,0 тыс. руб., в связи с тем, что торговая сеть «Командор» открыла на территории района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дискаунтер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«Хороший». В 2023 году объем инвестиций составит 300,0 тыс. руб., так как не планируется больших инвестиций в данной отрасли. В последующие годы объем инвестиций будет незначительно увеличиваться и к 2026 году составит 355 тыс. руб. </w:t>
      </w:r>
    </w:p>
    <w:p w:rsidR="00027D0C" w:rsidRPr="008E3901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pacing w:val="-1"/>
          <w:sz w:val="27"/>
          <w:szCs w:val="27"/>
        </w:rPr>
      </w:pPr>
      <w:r>
        <w:rPr>
          <w:rFonts w:ascii="Times New Roman CYR" w:hAnsi="Times New Roman CYR" w:cs="Times New Roman CYR"/>
          <w:spacing w:val="-1"/>
          <w:sz w:val="27"/>
          <w:szCs w:val="27"/>
        </w:rPr>
        <w:t xml:space="preserve">           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Объем инвестиций по разделу J «Деятельность в области информации и связи» в 2021 году составил 1918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 В п. Большой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Унгут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и п.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Жержул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построены вышки для обеспечения населения сотовой связью. С 2022 года по 2026 год инвестиций не планируется.</w:t>
      </w:r>
    </w:p>
    <w:p w:rsidR="00027D0C" w:rsidRPr="008E3901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pacing w:val="-1"/>
          <w:sz w:val="27"/>
          <w:szCs w:val="27"/>
        </w:rPr>
      </w:pPr>
      <w:r>
        <w:rPr>
          <w:rFonts w:ascii="Times New Roman CYR" w:hAnsi="Times New Roman CYR" w:cs="Times New Roman CYR"/>
          <w:spacing w:val="-1"/>
          <w:sz w:val="27"/>
          <w:szCs w:val="27"/>
        </w:rPr>
        <w:t xml:space="preserve">          По разделу о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государственное обеспечение за 2022 год объем инвестиций увеличился на 12421</w:t>
      </w:r>
      <w:r w:rsidRPr="008E3901">
        <w:rPr>
          <w:rFonts w:ascii="Calibri" w:hAnsi="Calibri" w:cs="Calibri"/>
          <w:sz w:val="27"/>
          <w:szCs w:val="27"/>
        </w:rPr>
        <w:t xml:space="preserve"> 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тыс. руб. и составил 16995 тыс. руб.: приобретена оргтехника, компьютерное оборудование для сельских советов. В дальнейшем объем инвестиций будет незначительным, на уровне 200-450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 </w:t>
      </w:r>
    </w:p>
    <w:p w:rsidR="00027D0C" w:rsidRPr="008E3901" w:rsidRDefault="00027D0C" w:rsidP="00027D0C">
      <w:pPr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pacing w:val="-1"/>
          <w:sz w:val="27"/>
          <w:szCs w:val="27"/>
        </w:rPr>
      </w:pP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По разделу Р «Образование» объем инвестиций составил 319523,0 тыс. руб., значительное увеличение по сравнению с 2021 годом (232966 тыс. руб.). Р</w:t>
      </w:r>
      <w:r w:rsidRPr="008E3901">
        <w:rPr>
          <w:rFonts w:ascii="Times New Roman CYR" w:hAnsi="Times New Roman CYR" w:cs="Times New Roman CYR"/>
          <w:sz w:val="27"/>
          <w:szCs w:val="27"/>
        </w:rPr>
        <w:t xml:space="preserve">ост обусловлен строительством двух образовательных учреждений за счет средств краевого бюджета: образовательного центра на 50 учащихся с дошкольными группами на 30 мест в с. Тертеж, школы на 165 учащихся в 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п.Нарва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>.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В 2023 году объем инвестиций составит 317361,3 тыс. руб. Закончится строительство в с. Тертеж образовательного центра на 50 учащихся с дошкольными группами на 30 мест, в с. Нарва школы на 165 учащихся (общий объем краевых инвестиций составит 292541,0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.).  В п.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Камарчага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будет произведен капитальный ремонт в МБОУ "Нижне-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Есауловская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СШ", объем инвестиций составит 5552,6 тыс. руб., из них средства краевого бюджета-5492,1,0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 Ремонт будет осуществлен благодаря участию в подпрограмме «Поддержка внедрения стандартов предоставления (оказания) муниципальных услуг и повышения качества жизни населения» государственной программы Красноярского края «Содействие развитию местного самоуправления». В рамках национального проекта «Образование» федерального проекта «Современная школа» школы района будут обеспечены оборудованием на сумму 5800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  В рамках распределения средств иного межбюджетного трансферта бюджету муниципального образования Манский район в целях содействия достижению и (или) поощрения достижения наилучших значений показателей эффективности деятельности органов местного самоуправления муниципальных, городских округов и муниципальных районов Красноярского края были выделены средства, направленные на объекты образования в сумме 3328,2 тыс. руб.  В 2024 и 2026 годах объем инвестиций снизится и составит 12250,0 и 12350,0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., соответственно. В 2024 и 2026 годах будет</w:t>
      </w:r>
      <w:r w:rsidRPr="008E3901">
        <w:rPr>
          <w:rFonts w:ascii="Calibri" w:hAnsi="Calibri" w:cs="Calibri"/>
          <w:sz w:val="27"/>
          <w:szCs w:val="27"/>
        </w:rPr>
        <w:t xml:space="preserve"> </w:t>
      </w:r>
      <w:r w:rsidRPr="008E3901">
        <w:rPr>
          <w:rFonts w:ascii="Times New Roman CYR" w:hAnsi="Times New Roman CYR" w:cs="Times New Roman CYR"/>
          <w:sz w:val="27"/>
          <w:szCs w:val="27"/>
        </w:rPr>
        <w:t xml:space="preserve">проведен капитальный ремонт здания МБДОУ детского сада «Ручеек» в п. 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Камарчага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>.</w:t>
      </w:r>
    </w:p>
    <w:p w:rsidR="00027D0C" w:rsidRPr="008E3901" w:rsidRDefault="00027D0C" w:rsidP="00027D0C">
      <w:pPr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pacing w:val="-1"/>
          <w:sz w:val="27"/>
          <w:szCs w:val="27"/>
        </w:rPr>
      </w:pP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По разделу Q «Здравоохранение» в 2022 году инвестиции отсутствуют, в 2021 году составили 3052,0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  С 2024 года планируется реконструкция 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lastRenderedPageBreak/>
        <w:t xml:space="preserve">поликлиники в с. Шалинское. В 2024 году объем инвестиций составит 34100,0 тыс. руб., в 2025 году -14000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 В эти периоды планируется реконструкция здания поликлиники ЦРБ в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с.Шалинское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за счет средств краевого бюджета, с общим объемом инвестиций 48100,0 тыс. </w:t>
      </w:r>
      <w:proofErr w:type="spellStart"/>
      <w:proofErr w:type="gram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руб.,из</w:t>
      </w:r>
      <w:proofErr w:type="spellEnd"/>
      <w:proofErr w:type="gram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них средства краевого бюджета-2982,5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., средства федерального бюджета-45117,5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  В 2026 году инвестиций не запланировано. </w:t>
      </w:r>
    </w:p>
    <w:p w:rsidR="00027D0C" w:rsidRPr="008E3901" w:rsidRDefault="00027D0C" w:rsidP="00027D0C">
      <w:pPr>
        <w:tabs>
          <w:tab w:val="left" w:pos="2520"/>
        </w:tabs>
        <w:autoSpaceDE w:val="0"/>
        <w:autoSpaceDN w:val="0"/>
        <w:adjustRightInd w:val="0"/>
        <w:spacing w:line="252" w:lineRule="auto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По разделу R инвестиции в области культуры и спорта в 2022 году составили 216993 тыс. руб. В 2021 году объем инвестиций составил 29381,0 тыс. руб. Рост обусловлен тем, что в области культуры в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п.Камарчага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 продолжено строительство досугового центра на 100 мест, объем финансирования составил 23743,5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  </w:t>
      </w:r>
      <w:r w:rsidRPr="008E3901">
        <w:rPr>
          <w:rFonts w:ascii="Times New Roman CYR" w:hAnsi="Times New Roman CYR" w:cs="Times New Roman CYR"/>
          <w:sz w:val="27"/>
          <w:szCs w:val="27"/>
        </w:rPr>
        <w:t>В рамках реализации мероприятий государственной программы Красноярского края "Развитие культуры и туризма" на комплектование книжных фондов в 2022 году было выделено 687,564 тысяч рублей, из них 298,3 тыс. рублей – средств федерального бюджета, 309,0 тыс. рублей средства краевого бюджета и 80,264 тыс. рублей средств местного бюджета. Благодаря региональному проекту «Обеспечение качественно нового уровня развития инфраструктуры культуры» («Культурная среда») в 2022 году МБУК «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Манская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 xml:space="preserve"> ЦКС» была предоставлена субсидия на «Обеспечение развития и укрепления материально-технической базы муниципальных домов культуры в населенных пунктах с числом жителей до 50 тысяч человек». Общий объем бюджетных ассигнований на данный вид расходов составил в 2022 году 1 284 211 рублей (886 938,55 - федеральный бюджет, 362 272,45- краевой бюджет, 35 000 - местный бюджет). На предоставленные средства приобретены звуковое и световое оборудование, кресла-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трансформеры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 xml:space="preserve"> в филиал «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Колбинский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 xml:space="preserve"> сельский Дом культуры».</w:t>
      </w:r>
    </w:p>
    <w:p w:rsidR="00027D0C" w:rsidRPr="008E3901" w:rsidRDefault="00027D0C" w:rsidP="00027D0C">
      <w:pPr>
        <w:tabs>
          <w:tab w:val="left" w:pos="2520"/>
        </w:tabs>
        <w:autoSpaceDE w:val="0"/>
        <w:autoSpaceDN w:val="0"/>
        <w:adjustRightInd w:val="0"/>
        <w:spacing w:line="252" w:lineRule="auto"/>
        <w:ind w:firstLine="567"/>
        <w:jc w:val="both"/>
        <w:rPr>
          <w:rFonts w:ascii="Times New Roman CYR" w:hAnsi="Times New Roman CYR" w:cs="Times New Roman CYR"/>
          <w:spacing w:val="-1"/>
          <w:sz w:val="27"/>
          <w:szCs w:val="27"/>
        </w:rPr>
      </w:pP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В 2023 году объем инвестиций немного уменьшится и составит 176926,7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.  В области культуры инвестиции отсутствуют. В области спорта в 2022 году было начато строительство быстровозводимой крытой спортивной площадки с объемом инвестиций 182398,0 тыс. руб. за счет средств краевого бюджета. В 2023 году строительство завершено, объем инвестиций составил 163029,4 </w:t>
      </w:r>
      <w:proofErr w:type="spellStart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>.</w:t>
      </w:r>
    </w:p>
    <w:p w:rsidR="00027D0C" w:rsidRPr="008E3901" w:rsidRDefault="00027D0C" w:rsidP="00027D0C">
      <w:pPr>
        <w:tabs>
          <w:tab w:val="left" w:pos="851"/>
        </w:tabs>
        <w:autoSpaceDE w:val="0"/>
        <w:autoSpaceDN w:val="0"/>
        <w:adjustRightInd w:val="0"/>
        <w:ind w:right="-2" w:firstLine="840"/>
        <w:jc w:val="both"/>
        <w:rPr>
          <w:rFonts w:ascii="Times New Roman CYR" w:hAnsi="Times New Roman CYR" w:cs="Times New Roman CYR"/>
          <w:spacing w:val="-1"/>
          <w:sz w:val="27"/>
          <w:szCs w:val="27"/>
        </w:rPr>
      </w:pP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В 2024 и 2026 годах объем инвестиций составит 60500,0 и 51000,0 тыс. рублей, соответственно. В области культуры будут проведены капитальные ремонты домов культуры. В области спорта инвестиции не планируются. </w:t>
      </w:r>
    </w:p>
    <w:p w:rsidR="00027D0C" w:rsidRPr="008E3901" w:rsidRDefault="00027D0C" w:rsidP="00027D0C">
      <w:pPr>
        <w:shd w:val="clear" w:color="auto" w:fill="FFFFFF"/>
        <w:autoSpaceDE w:val="0"/>
        <w:autoSpaceDN w:val="0"/>
        <w:adjustRightInd w:val="0"/>
        <w:ind w:right="-2" w:firstLine="646"/>
        <w:jc w:val="both"/>
        <w:rPr>
          <w:rFonts w:ascii="Times New Roman CYR" w:hAnsi="Times New Roman CYR" w:cs="Times New Roman CYR"/>
          <w:sz w:val="27"/>
          <w:szCs w:val="27"/>
        </w:rPr>
      </w:pP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Учитывая, что инвестиции в основном, </w:t>
      </w:r>
      <w:r w:rsidRPr="008E3901">
        <w:rPr>
          <w:rFonts w:ascii="Times New Roman CYR" w:hAnsi="Times New Roman CYR" w:cs="Times New Roman CYR"/>
          <w:sz w:val="27"/>
          <w:szCs w:val="27"/>
        </w:rPr>
        <w:t xml:space="preserve">направляются в перечисленные виды экономической деятельности, прогноз общего объема инвестиций по МО на прогнозируемые годы составлен исходя из сложившейся структуры и </w:t>
      </w:r>
      <w:r w:rsidRPr="008E3901">
        <w:rPr>
          <w:rFonts w:ascii="Times New Roman CYR" w:hAnsi="Times New Roman CYR" w:cs="Times New Roman CYR"/>
          <w:spacing w:val="-1"/>
          <w:sz w:val="27"/>
          <w:szCs w:val="27"/>
        </w:rPr>
        <w:t xml:space="preserve">планируемых к реализации инвестиционных проектов, а также краевых и </w:t>
      </w:r>
      <w:r w:rsidRPr="008E3901">
        <w:rPr>
          <w:rFonts w:ascii="Times New Roman CYR" w:hAnsi="Times New Roman CYR" w:cs="Times New Roman CYR"/>
          <w:sz w:val="27"/>
          <w:szCs w:val="27"/>
        </w:rPr>
        <w:t>муниципальных программ и стратегии социально экономического развития Манского района до 2030 года.</w:t>
      </w:r>
    </w:p>
    <w:p w:rsidR="00027D0C" w:rsidRPr="008E3901" w:rsidRDefault="00027D0C" w:rsidP="00027D0C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646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</w:t>
      </w:r>
      <w:r w:rsidRPr="008E3901">
        <w:rPr>
          <w:rFonts w:ascii="Times New Roman CYR" w:hAnsi="Times New Roman CYR" w:cs="Times New Roman CYR"/>
          <w:sz w:val="27"/>
          <w:szCs w:val="27"/>
        </w:rPr>
        <w:t xml:space="preserve">Объем инвестиций в основной капитал за счет собственных средств организаций в 2022 году составил 26541,0 </w:t>
      </w:r>
      <w:r w:rsidRPr="008E3901">
        <w:rPr>
          <w:rFonts w:ascii="Times New Roman CYR" w:hAnsi="Times New Roman CYR" w:cs="Times New Roman CYR"/>
          <w:color w:val="000000"/>
          <w:sz w:val="27"/>
          <w:szCs w:val="27"/>
        </w:rPr>
        <w:t>тыс. руб</w:t>
      </w:r>
      <w:r w:rsidRPr="008E3901">
        <w:rPr>
          <w:rFonts w:ascii="Times New Roman CYR" w:hAnsi="Times New Roman CYR" w:cs="Times New Roman CYR"/>
          <w:sz w:val="27"/>
          <w:szCs w:val="27"/>
        </w:rPr>
        <w:t xml:space="preserve">. В 2023 году составит 72131,01 тыс. руб., в 2024 году объем инвестиций составит 20243,6 </w:t>
      </w:r>
      <w:proofErr w:type="spellStart"/>
      <w:r w:rsidRPr="008E3901">
        <w:rPr>
          <w:rFonts w:ascii="Times New Roman CYR" w:hAnsi="Times New Roman CYR" w:cs="Times New Roman CYR"/>
          <w:sz w:val="27"/>
          <w:szCs w:val="27"/>
        </w:rPr>
        <w:t>тыс.руб</w:t>
      </w:r>
      <w:proofErr w:type="spellEnd"/>
      <w:r w:rsidRPr="008E3901">
        <w:rPr>
          <w:rFonts w:ascii="Times New Roman CYR" w:hAnsi="Times New Roman CYR" w:cs="Times New Roman CYR"/>
          <w:sz w:val="27"/>
          <w:szCs w:val="27"/>
        </w:rPr>
        <w:t>. В последующие годы будет уменьшаться.</w:t>
      </w:r>
    </w:p>
    <w:p w:rsidR="00027D0C" w:rsidRPr="008E3901" w:rsidRDefault="00027D0C" w:rsidP="00027D0C">
      <w:pPr>
        <w:shd w:val="clear" w:color="auto" w:fill="FFFFFF"/>
        <w:autoSpaceDE w:val="0"/>
        <w:autoSpaceDN w:val="0"/>
        <w:adjustRightInd w:val="0"/>
        <w:ind w:firstLine="646"/>
        <w:jc w:val="both"/>
        <w:rPr>
          <w:rFonts w:ascii="Times New Roman CYR" w:hAnsi="Times New Roman CYR" w:cs="Times New Roman CYR"/>
          <w:sz w:val="27"/>
          <w:szCs w:val="27"/>
        </w:rPr>
      </w:pPr>
      <w:r w:rsidRPr="008E3901">
        <w:rPr>
          <w:rFonts w:ascii="Times New Roman CYR" w:hAnsi="Times New Roman CYR" w:cs="Times New Roman CYR"/>
          <w:sz w:val="27"/>
          <w:szCs w:val="27"/>
        </w:rPr>
        <w:t xml:space="preserve">Объем инвестиций в основной капитал за счет привлеченных средств в 2022 году составил 628271,0 тыс. рублей. </w:t>
      </w:r>
    </w:p>
    <w:p w:rsidR="00027D0C" w:rsidRPr="008E3901" w:rsidRDefault="00027D0C" w:rsidP="00027D0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8E3901">
        <w:rPr>
          <w:rFonts w:ascii="Times New Roman CYR" w:hAnsi="Times New Roman CYR" w:cs="Times New Roman CYR"/>
          <w:sz w:val="27"/>
          <w:szCs w:val="27"/>
        </w:rPr>
        <w:lastRenderedPageBreak/>
        <w:t xml:space="preserve">Кроме того, за счет бюджетных средств в районе будут проводиться определенные работы по строительству и капитальным ремонтам объектов бюджетных учреждений и организаций, приобретению основных средств. </w:t>
      </w:r>
    </w:p>
    <w:p w:rsidR="00027D0C" w:rsidRPr="008E3901" w:rsidRDefault="00027D0C" w:rsidP="00027D0C">
      <w:pPr>
        <w:autoSpaceDE w:val="0"/>
        <w:autoSpaceDN w:val="0"/>
        <w:adjustRightInd w:val="0"/>
        <w:ind w:firstLine="646"/>
        <w:jc w:val="both"/>
        <w:rPr>
          <w:rFonts w:ascii="Times New Roman CYR" w:hAnsi="Times New Roman CYR" w:cs="Times New Roman CYR"/>
          <w:sz w:val="27"/>
          <w:szCs w:val="27"/>
        </w:rPr>
      </w:pPr>
      <w:r w:rsidRPr="008E3901">
        <w:rPr>
          <w:rFonts w:ascii="Times New Roman CYR" w:hAnsi="Times New Roman CYR" w:cs="Times New Roman CYR"/>
          <w:sz w:val="27"/>
          <w:szCs w:val="27"/>
        </w:rPr>
        <w:t>Объем инвестиций в основной капитал (за исключением бюджетных средств) в расчете на 1 жителя в 2022 году составил 3351,67 рублей, в 2023 году составил 8848,36 рублей. В последующие годы показатель уменьшится. Это связано с тем, что в этот период будут завершены значимые инвестиционные проекты в области строительства, здравоохранения, образования, культуры и спорта.</w:t>
      </w:r>
    </w:p>
    <w:p w:rsidR="00027D0C" w:rsidRPr="008E3901" w:rsidRDefault="00027D0C" w:rsidP="00027D0C">
      <w:pPr>
        <w:autoSpaceDE w:val="0"/>
        <w:autoSpaceDN w:val="0"/>
        <w:adjustRightInd w:val="0"/>
        <w:ind w:firstLine="646"/>
        <w:jc w:val="both"/>
        <w:rPr>
          <w:rFonts w:ascii="Times New Roman CYR" w:hAnsi="Times New Roman CYR" w:cs="Times New Roman CYR"/>
          <w:sz w:val="27"/>
          <w:szCs w:val="27"/>
        </w:rPr>
      </w:pPr>
      <w:r w:rsidRPr="008E3901">
        <w:rPr>
          <w:rFonts w:ascii="Times New Roman CYR" w:hAnsi="Times New Roman CYR" w:cs="Times New Roman CYR"/>
          <w:sz w:val="27"/>
          <w:szCs w:val="27"/>
        </w:rPr>
        <w:t>Крупные инвестиционные проекты на территории Манского района не реализуются.</w:t>
      </w:r>
    </w:p>
    <w:p w:rsidR="00027D0C" w:rsidRPr="008E3901" w:rsidRDefault="00027D0C" w:rsidP="00027D0C">
      <w:pPr>
        <w:autoSpaceDE w:val="0"/>
        <w:autoSpaceDN w:val="0"/>
        <w:adjustRightInd w:val="0"/>
        <w:rPr>
          <w:rFonts w:ascii="Times New Roman CYR" w:hAnsi="Times New Roman CYR" w:cs="Times New Roman CYR"/>
          <w:sz w:val="27"/>
          <w:szCs w:val="27"/>
          <w:highlight w:val="cyan"/>
        </w:rPr>
      </w:pPr>
    </w:p>
    <w:p w:rsidR="00027D0C" w:rsidRPr="008E3901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 w:rsidRPr="008E3901">
        <w:rPr>
          <w:rFonts w:ascii="Times New Roman CYR" w:hAnsi="Times New Roman CYR" w:cs="Times New Roman CYR"/>
          <w:color w:val="000000"/>
          <w:sz w:val="27"/>
          <w:szCs w:val="27"/>
        </w:rPr>
        <w:t xml:space="preserve">«Объем инвестиций в основной капитал (за исключением бюджетных средств) в расчете на 1 жителя (по крупным и средним организациям)» </w:t>
      </w:r>
    </w:p>
    <w:tbl>
      <w:tblPr>
        <w:tblW w:w="9238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3114"/>
        <w:gridCol w:w="992"/>
        <w:gridCol w:w="1134"/>
        <w:gridCol w:w="1418"/>
        <w:gridCol w:w="1559"/>
        <w:gridCol w:w="1021"/>
      </w:tblGrid>
      <w:tr w:rsidR="00027D0C" w:rsidTr="00D42A3A">
        <w:trPr>
          <w:trHeight w:val="289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Наименование показателя и единицы измерения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Значения показателя</w:t>
            </w:r>
          </w:p>
        </w:tc>
      </w:tr>
      <w:tr w:rsidR="00027D0C" w:rsidTr="00D42A3A">
        <w:trPr>
          <w:trHeight w:val="54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2022 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2023 оценка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2024 прогноз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2025 прогноз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2026 прогноз </w:t>
            </w:r>
          </w:p>
        </w:tc>
      </w:tr>
      <w:tr w:rsidR="00027D0C" w:rsidTr="00D42A3A">
        <w:trPr>
          <w:trHeight w:val="127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 Объем инвестиций в основной капитал за счет всех источников финансирования (без субъектов малого предпринимательства),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654 812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554 854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155 720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105 684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81100</w:t>
            </w:r>
          </w:p>
        </w:tc>
      </w:tr>
      <w:tr w:rsidR="00027D0C" w:rsidTr="00D42A3A">
        <w:trPr>
          <w:trHeight w:val="76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1.1. Темп роста в действующих ценах, к соответствующему периоду предыдущего года,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84,73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28,07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67,87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76,74</w:t>
            </w:r>
          </w:p>
        </w:tc>
      </w:tr>
      <w:tr w:rsidR="00027D0C" w:rsidTr="00D42A3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1.2. Индекс-дефлятор,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116,84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105,3</w:t>
            </w:r>
          </w:p>
        </w:tc>
      </w:tr>
      <w:tr w:rsidR="00027D0C" w:rsidTr="00D42A3A">
        <w:trPr>
          <w:trHeight w:val="76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1.3. Темп роста в сопоставимых ценах, к соответствующему периоду предыдущего года,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76,34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26,55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64,33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72,88</w:t>
            </w:r>
          </w:p>
        </w:tc>
      </w:tr>
      <w:tr w:rsidR="00027D0C" w:rsidTr="00D42A3A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 Инвестиции в основной капитал за счет бюджетных средств, тыс. руб.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608 921,00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435 560,31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122 240,20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82 961,94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63663,5</w:t>
            </w:r>
          </w:p>
        </w:tc>
      </w:tr>
      <w:tr w:rsidR="00027D0C" w:rsidTr="00D42A3A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 Объем инвестиций без бюджетных средств, тыс. руб. (стр. 1 – стр. 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45 891,00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119 293,59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33 479,80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22 722,06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17 436,50</w:t>
            </w:r>
          </w:p>
        </w:tc>
      </w:tr>
      <w:tr w:rsidR="00027D0C" w:rsidTr="00D42A3A">
        <w:trPr>
          <w:trHeight w:val="10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409FB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 xml:space="preserve">4. </w:t>
            </w:r>
            <w:r w:rsidRPr="002409FB">
              <w:rPr>
                <w:rFonts w:ascii="Times New Roman CYR" w:hAnsi="Times New Roman CYR" w:cs="Times New Roman CYR"/>
                <w:bCs/>
                <w:color w:val="000000" w:themeColor="text1"/>
                <w:sz w:val="20"/>
                <w:szCs w:val="20"/>
              </w:rPr>
              <w:t xml:space="preserve">Среднегодовая </w:t>
            </w:r>
            <w:r w:rsidRPr="002409FB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 xml:space="preserve">численность населения муниципального, городского округа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(муниципального района),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13 692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13 482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13 272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13 064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12857</w:t>
            </w:r>
          </w:p>
        </w:tc>
      </w:tr>
      <w:tr w:rsidR="00027D0C" w:rsidTr="00D42A3A">
        <w:trPr>
          <w:trHeight w:val="127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5. Объем инвестиций в основной капитал (за исключением бюджетных средств) в расчете на 1 человека населения, руб. (стр. 3*1000/стр. 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3 351,67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8 848,36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2 522,59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1 739,29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0C" w:rsidRDefault="00027D0C" w:rsidP="00D42A3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1 356,19</w:t>
            </w:r>
          </w:p>
        </w:tc>
      </w:tr>
    </w:tbl>
    <w:p w:rsidR="00027D0C" w:rsidRDefault="00027D0C" w:rsidP="00027D0C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6. Транспорт и связь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>Транспорт</w:t>
      </w:r>
    </w:p>
    <w:p w:rsidR="00027D0C" w:rsidRPr="0047646D" w:rsidRDefault="00027D0C" w:rsidP="00027D0C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AF343D">
        <w:rPr>
          <w:sz w:val="27"/>
          <w:szCs w:val="27"/>
        </w:rPr>
        <w:tab/>
      </w:r>
      <w:r w:rsidRPr="002409FB">
        <w:rPr>
          <w:rFonts w:ascii="Times New Roman CYR" w:hAnsi="Times New Roman CYR" w:cs="Times New Roman CYR"/>
          <w:sz w:val="27"/>
          <w:szCs w:val="27"/>
        </w:rPr>
        <w:t xml:space="preserve">Протяженность автомобильных дорог общего пользования местного </w:t>
      </w:r>
      <w:r w:rsidRPr="002409FB">
        <w:rPr>
          <w:rFonts w:ascii="Times New Roman CYR" w:hAnsi="Times New Roman CYR" w:cs="Times New Roman CYR"/>
          <w:sz w:val="27"/>
          <w:szCs w:val="27"/>
        </w:rPr>
        <w:lastRenderedPageBreak/>
        <w:t>значения в 2022 году составила 477,90 км. В 2023 – 2024 гг. данный показатель останется на уровне 477,</w:t>
      </w:r>
      <w:proofErr w:type="gramStart"/>
      <w:r w:rsidRPr="002409FB">
        <w:rPr>
          <w:rFonts w:ascii="Times New Roman CYR" w:hAnsi="Times New Roman CYR" w:cs="Times New Roman CYR"/>
          <w:sz w:val="27"/>
          <w:szCs w:val="27"/>
        </w:rPr>
        <w:t>90  км</w:t>
      </w:r>
      <w:proofErr w:type="gramEnd"/>
      <w:r w:rsidRPr="002409FB">
        <w:rPr>
          <w:rFonts w:ascii="Times New Roman CYR" w:hAnsi="Times New Roman CYR" w:cs="Times New Roman CYR"/>
          <w:sz w:val="27"/>
          <w:szCs w:val="27"/>
        </w:rPr>
        <w:t>.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ab/>
        <w:t xml:space="preserve">Протяженность автомобильных дорог общего пользования местного значения, не отвечающих нормативным требованиям, на конец периода составила 116,00 </w:t>
      </w:r>
      <w:proofErr w:type="gramStart"/>
      <w:r w:rsidRPr="002409FB">
        <w:rPr>
          <w:rFonts w:ascii="Times New Roman CYR" w:hAnsi="Times New Roman CYR" w:cs="Times New Roman CYR"/>
          <w:sz w:val="27"/>
          <w:szCs w:val="27"/>
        </w:rPr>
        <w:t>км.,</w:t>
      </w:r>
      <w:proofErr w:type="gramEnd"/>
      <w:r w:rsidRPr="002409FB">
        <w:rPr>
          <w:rFonts w:ascii="Times New Roman CYR" w:hAnsi="Times New Roman CYR" w:cs="Times New Roman CYR"/>
          <w:sz w:val="27"/>
          <w:szCs w:val="27"/>
        </w:rPr>
        <w:t xml:space="preserve"> к 2023 году составит порядка 120  км.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ab/>
        <w:t>Протяженность участков автомобильных дорог местного значения, требующих ремонта в 2022 году составила 116,00 км. В последующие годы необходимость в ремонте автомобильных дорог останется по причине незначительных объемов ремонтных работ.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ab/>
        <w:t>Протяженность участков автомобильных дорог местного значения с переходным типом покрытия составляет 283,6 км.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ab/>
        <w:t>Населенных пунктов не обеспеченных автодорожной связью в районе нет.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ab/>
        <w:t>Численность населения, проживающего в населенных пунктах, имеющих регулярное автобусное и (или) железнодорожное сообщение с административным центром в 2022 году составила 13692 человека.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ab/>
        <w:t>Пассажирские перевозки в районе осуществляет Манский филиал АО "Краевое АТП". Других альтернативных перевозчиков нет.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ab/>
        <w:t xml:space="preserve">Количество автобусных маршрутов в 2022 году составило 14, протяженность маршрутов составила 690,5 км.  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    Количество перевезенных (отправленных) пассажиров автомобильным транспортом в 2022 году составило 104,60 тыс. человек, в 2021 году данный показатель составлял 100,90 тыс. человек. 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ab/>
        <w:t>Предприятие обслуживает не только внутрирайонные перевозки, но и обеспечивает перевозки за пределы района - в г. Красноярск, г. Канск, части Партизанского района (7 пригородных и 7 междугородных маршрутов).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</w:t>
      </w:r>
      <w:r w:rsidRPr="002409FB">
        <w:rPr>
          <w:rFonts w:ascii="Times New Roman CYR" w:hAnsi="Times New Roman CYR" w:cs="Times New Roman CYR"/>
          <w:sz w:val="27"/>
          <w:szCs w:val="27"/>
        </w:rPr>
        <w:tab/>
        <w:t xml:space="preserve">Подвижной состав в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Манском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 филиале АО "Краевое АТП": 15 автобусов, 2 легковой автомобиль, 2 грузовых автомобиля. Автопарк обновлен на 100 процентов.                                                           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>Связь</w:t>
      </w:r>
    </w:p>
    <w:p w:rsidR="00027D0C" w:rsidRPr="002409FB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027D0C" w:rsidRPr="002409FB" w:rsidRDefault="00027D0C" w:rsidP="00027D0C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Телефонная связь района представлена ОАО «Сибирьтелеком» Красноярский пригородный центр телекоммуникаций Манский районный узел связи.</w:t>
      </w:r>
    </w:p>
    <w:p w:rsidR="00027D0C" w:rsidRPr="002409FB" w:rsidRDefault="00027D0C" w:rsidP="00027D0C">
      <w:pPr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В районе установлено 11 координатных телефонных станций АТСК-50/200, из них 5 электронные телефонные станций в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с.Шалинское</w:t>
      </w:r>
      <w:proofErr w:type="spellEnd"/>
      <w:proofErr w:type="gramStart"/>
      <w:r w:rsidRPr="002409FB">
        <w:rPr>
          <w:rFonts w:ascii="Times New Roman CYR" w:hAnsi="Times New Roman CYR" w:cs="Times New Roman CYR"/>
          <w:sz w:val="27"/>
          <w:szCs w:val="27"/>
        </w:rPr>
        <w:t>,  п.</w:t>
      </w:r>
      <w:proofErr w:type="gramEnd"/>
      <w:r w:rsidRPr="002409FB">
        <w:rPr>
          <w:rFonts w:ascii="Times New Roman CYR" w:hAnsi="Times New Roman CYR" w:cs="Times New Roman CYR"/>
          <w:sz w:val="27"/>
          <w:szCs w:val="27"/>
        </w:rPr>
        <w:t xml:space="preserve">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Камарчага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, в п.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Колбинское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, п. Нарва и Выезжий Лог. </w:t>
      </w:r>
    </w:p>
    <w:p w:rsidR="00027D0C" w:rsidRPr="002409FB" w:rsidRDefault="00027D0C" w:rsidP="00027D0C">
      <w:pPr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Количество квартирных телефонных аппаратов телефонной сети общего пользования на конец периода составила 2212 единиц. В последующие годы их количество останется на прежнем уровне.</w:t>
      </w:r>
    </w:p>
    <w:p w:rsidR="00027D0C" w:rsidRPr="002409FB" w:rsidRDefault="00027D0C" w:rsidP="00027D0C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Количество телефонных аппаратов телефонной сети общего пользования или имеющих на нее выход в 2022 году 2372 номера. </w:t>
      </w:r>
    </w:p>
    <w:p w:rsidR="00027D0C" w:rsidRPr="002409FB" w:rsidRDefault="00027D0C" w:rsidP="00027D0C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За последние 3 года в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Манском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 районе по местным телефонным сетям выполнены следующие работы: смонтированы системы передач ИКМ по следующим направлениям: В-Лог - Кирза - С-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Баджей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>, С-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Баджей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 -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Колбинское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>, С-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Баджей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 -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Орешное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 - Нарва, С-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Баджей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 -Н-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Васильсвка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>, Нарва - Б-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Унгут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, </w:t>
      </w:r>
      <w:proofErr w:type="gramStart"/>
      <w:r w:rsidRPr="002409FB">
        <w:rPr>
          <w:rFonts w:ascii="Times New Roman CYR" w:hAnsi="Times New Roman CYR" w:cs="Times New Roman CYR"/>
          <w:sz w:val="27"/>
          <w:szCs w:val="27"/>
        </w:rPr>
        <w:t>Шало</w:t>
      </w:r>
      <w:proofErr w:type="gramEnd"/>
      <w:r w:rsidRPr="002409FB">
        <w:rPr>
          <w:rFonts w:ascii="Times New Roman CYR" w:hAnsi="Times New Roman CYR" w:cs="Times New Roman CYR"/>
          <w:sz w:val="27"/>
          <w:szCs w:val="27"/>
        </w:rPr>
        <w:t xml:space="preserve"> -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Кияй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, Шало -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Камарчага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, Шало - Первоманск -Ветвистое, Шало - В-Есауловка - </w:t>
      </w:r>
      <w:r w:rsidRPr="002409FB">
        <w:rPr>
          <w:rFonts w:ascii="Times New Roman CYR" w:hAnsi="Times New Roman CYR" w:cs="Times New Roman CYR"/>
          <w:sz w:val="27"/>
          <w:szCs w:val="27"/>
        </w:rPr>
        <w:lastRenderedPageBreak/>
        <w:t xml:space="preserve">Тертеж, Шало - В-Есауловка. В п.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Колбинское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 построены линейно-кабельные сооружения, смонтирована и запущена в эксплуатацию электронная станция МС-240, задействована на 100%, Проложен оптический кабель в п. С-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Баджей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. Степень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цифровизации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 местных телефонных сетей была доведена до уровня 100% (по сравнению с существующей - 15%), что позволило также обеспечить выполнение плана по задействованию свободной емкости, район был переведен на автоматизированный уровень предоставления услуг связи населению (были сокращены телефонистки). Смонтированы цифровые станции в п.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Колбинское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, п. Нарва, </w:t>
      </w:r>
      <w:proofErr w:type="gramStart"/>
      <w:r w:rsidRPr="002409FB">
        <w:rPr>
          <w:rFonts w:ascii="Times New Roman CYR" w:hAnsi="Times New Roman CYR" w:cs="Times New Roman CYR"/>
          <w:sz w:val="27"/>
          <w:szCs w:val="27"/>
        </w:rPr>
        <w:t>п ,</w:t>
      </w:r>
      <w:proofErr w:type="gramEnd"/>
      <w:r w:rsidRPr="002409FB">
        <w:rPr>
          <w:rFonts w:ascii="Times New Roman CYR" w:hAnsi="Times New Roman CYR" w:cs="Times New Roman CYR"/>
          <w:sz w:val="27"/>
          <w:szCs w:val="27"/>
        </w:rPr>
        <w:t xml:space="preserve"> В-Лог.</w:t>
      </w:r>
    </w:p>
    <w:p w:rsidR="00027D0C" w:rsidRPr="002409FB" w:rsidRDefault="00027D0C" w:rsidP="00027D0C">
      <w:pPr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16 школ района уже подключены к высокоскоростному Интернету, в ближайшее время такой услугой смогут воспользоваться все желающее население района.</w:t>
      </w:r>
    </w:p>
    <w:p w:rsidR="00027D0C" w:rsidRPr="002409FB" w:rsidRDefault="00027D0C" w:rsidP="00027D0C">
      <w:pPr>
        <w:tabs>
          <w:tab w:val="left" w:pos="284"/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В 39 населенных пунктах установлены таксофоны. </w:t>
      </w:r>
    </w:p>
    <w:p w:rsidR="00027D0C" w:rsidRPr="002409FB" w:rsidRDefault="00027D0C" w:rsidP="00027D0C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Появилась возможность не только качественно улучшить телефонную связь, но и установить связь (телефоны, таксофоны) в населенных пунктах, где ее не было (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д.Сосновка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, Н-Михайловка, Островки, Н-Алексеевка).   </w:t>
      </w:r>
    </w:p>
    <w:p w:rsidR="00027D0C" w:rsidRPr="002409FB" w:rsidRDefault="00027D0C" w:rsidP="00027D0C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По междугородной связи перешли с аналогового оборудования связи на цифровое, что также позволило улучшить качество и количество телефонных каналов.</w:t>
      </w:r>
    </w:p>
    <w:p w:rsidR="00027D0C" w:rsidRPr="002409FB" w:rsidRDefault="00027D0C" w:rsidP="00027D0C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В районе установлено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приемо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 - передаточных устройства сотовой связи Теле2, МТС, Билайн, Мегафон.  </w:t>
      </w:r>
    </w:p>
    <w:p w:rsidR="00027D0C" w:rsidRPr="002409FB" w:rsidRDefault="00027D0C" w:rsidP="00027D0C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На рынок услуг сотовой связи в район пришли 4 оператора: Теле2, Билайн, МТС, Мегафон. Площадь территории, покрытая сотовой связью, составляет 75%. Количество отделений почтовой связи в районе 11. </w:t>
      </w:r>
    </w:p>
    <w:p w:rsidR="00027D0C" w:rsidRPr="002409FB" w:rsidRDefault="00027D0C" w:rsidP="00027D0C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Количество населенных пунктов, на территории которых не расположены учреждения почтовой связи 34.</w:t>
      </w:r>
    </w:p>
    <w:p w:rsidR="00027D0C" w:rsidRPr="002409FB" w:rsidRDefault="00027D0C" w:rsidP="00027D0C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В сети почтовой связи предоставляется значительное количество новых услуг (экспресс-почта, электронная почта), в том числе и нетрадиционных для почтовой связи услуг (прием различных видов платежей, распространение лотерейных билетов, ксерокопирование).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7. Малое и среднее предпринимательство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14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sz w:val="27"/>
          <w:szCs w:val="27"/>
        </w:rPr>
        <w:t xml:space="preserve">         </w:t>
      </w:r>
      <w:r>
        <w:rPr>
          <w:rFonts w:ascii="Times New Roman CYR" w:hAnsi="Times New Roman CYR" w:cs="Times New Roman CYR"/>
          <w:sz w:val="27"/>
          <w:szCs w:val="27"/>
        </w:rPr>
        <w:t xml:space="preserve">На территории Манского района увеличилось количество субъектов малого и среднего предпринимательства на 6,26 % с 399 единиц на 01.01.2022 года до 424 единиц на 01.01.2023 года. 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14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  Из них количество малых и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микропредприятий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(юридических лиц) увеличилось на 10 единиц (с 58 до 68) или на 17,24 %; количество индивидуальных предпринимателей увеличилось на 16 единиц (с 340 до 356) или на 4,7 %.  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14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  Общество с ограниченной ответственностью «Агрохолдинг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» утратило статус среднего предприятия в 2022 году в связи с уменьшением среднесписочной численности (90 чел.) ниже критерия для среднего предприятия (от 101 чел. до 250 чел.) на протяжении 3-х лет, начиная с 2019 года, и перешло в категорию малых предприятий. Всего на территории </w:t>
      </w:r>
      <w:r>
        <w:rPr>
          <w:rFonts w:ascii="Times New Roman CYR" w:hAnsi="Times New Roman CYR" w:cs="Times New Roman CYR"/>
          <w:sz w:val="27"/>
          <w:szCs w:val="27"/>
        </w:rPr>
        <w:lastRenderedPageBreak/>
        <w:t>Манского района в 2022 году осуществляли деятельность 6 малых предприятий, в 2021 году – 5.</w:t>
      </w:r>
    </w:p>
    <w:p w:rsidR="00027D0C" w:rsidRDefault="00027D0C" w:rsidP="00027D0C">
      <w:pPr>
        <w:autoSpaceDE w:val="0"/>
        <w:autoSpaceDN w:val="0"/>
        <w:adjustRightInd w:val="0"/>
        <w:ind w:left="14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По состоянию на конец 2022 года по числу субъектов МСП отраслевая структура экономики выглядит следующим образом: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           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957"/>
        <w:gridCol w:w="876"/>
        <w:gridCol w:w="1796"/>
        <w:gridCol w:w="1747"/>
      </w:tblGrid>
      <w:tr w:rsidR="00027D0C" w:rsidRPr="002409FB" w:rsidTr="00D42A3A">
        <w:trPr>
          <w:trHeight w:val="133"/>
        </w:trPr>
        <w:tc>
          <w:tcPr>
            <w:tcW w:w="6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№ п/п</w:t>
            </w:r>
          </w:p>
        </w:tc>
        <w:tc>
          <w:tcPr>
            <w:tcW w:w="3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Наименование показателей отраслевой структуры экономики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Доля</w:t>
            </w:r>
          </w:p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%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Число субъектов малого и среднего предпринимательства, единиц</w:t>
            </w:r>
          </w:p>
        </w:tc>
      </w:tr>
      <w:tr w:rsidR="00027D0C" w:rsidRPr="002409FB" w:rsidTr="00D42A3A">
        <w:trPr>
          <w:trHeight w:val="133"/>
        </w:trPr>
        <w:tc>
          <w:tcPr>
            <w:tcW w:w="6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</w:p>
        </w:tc>
        <w:tc>
          <w:tcPr>
            <w:tcW w:w="3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Юридических лиц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Индивидуальных предпринимателей</w:t>
            </w:r>
          </w:p>
        </w:tc>
      </w:tr>
      <w:tr w:rsidR="00027D0C" w:rsidRPr="002409FB" w:rsidTr="00D42A3A">
        <w:trPr>
          <w:trHeight w:val="133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1.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Торговля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34,4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19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127</w:t>
            </w:r>
          </w:p>
        </w:tc>
      </w:tr>
      <w:tr w:rsidR="00027D0C" w:rsidRPr="002409FB" w:rsidTr="00D42A3A">
        <w:trPr>
          <w:trHeight w:val="133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2.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Сельское хозяйство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16,5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12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58</w:t>
            </w:r>
          </w:p>
        </w:tc>
      </w:tr>
      <w:tr w:rsidR="00027D0C" w:rsidRPr="002409FB" w:rsidTr="00D42A3A">
        <w:trPr>
          <w:trHeight w:val="133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3.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Транспортные услуги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12,3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48</w:t>
            </w:r>
          </w:p>
        </w:tc>
      </w:tr>
      <w:tr w:rsidR="00027D0C" w:rsidRPr="002409FB" w:rsidTr="00D42A3A">
        <w:trPr>
          <w:trHeight w:val="133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4.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Обрабатывающие производства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8,3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22</w:t>
            </w:r>
          </w:p>
        </w:tc>
      </w:tr>
      <w:tr w:rsidR="00027D0C" w:rsidRPr="002409FB" w:rsidTr="00D42A3A">
        <w:trPr>
          <w:trHeight w:val="133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5.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Строительство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7,5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28</w:t>
            </w:r>
          </w:p>
        </w:tc>
      </w:tr>
      <w:tr w:rsidR="00027D0C" w:rsidRPr="002409FB" w:rsidTr="00D42A3A">
        <w:trPr>
          <w:trHeight w:val="133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6.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Лесное хозяйство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3,8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12</w:t>
            </w:r>
          </w:p>
        </w:tc>
      </w:tr>
      <w:tr w:rsidR="00027D0C" w:rsidRPr="002409FB" w:rsidTr="00D42A3A">
        <w:trPr>
          <w:trHeight w:val="133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7.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  <w:vertAlign w:val="superscript"/>
              </w:rPr>
            </w:pPr>
            <w:r w:rsidRPr="002409FB">
              <w:rPr>
                <w:color w:val="000000"/>
              </w:rPr>
              <w:t>Прочие виды деятельности</w:t>
            </w:r>
            <w:r w:rsidRPr="002409FB">
              <w:rPr>
                <w:color w:val="000000"/>
                <w:vertAlign w:val="superscript"/>
              </w:rPr>
              <w:t>*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17,2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12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61</w:t>
            </w:r>
          </w:p>
        </w:tc>
      </w:tr>
      <w:tr w:rsidR="00027D0C" w:rsidRPr="002409FB" w:rsidTr="00D42A3A">
        <w:trPr>
          <w:trHeight w:val="133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Всего: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both"/>
              <w:rPr>
                <w:color w:val="000000"/>
              </w:rPr>
            </w:pPr>
            <w:r w:rsidRPr="002409FB">
              <w:rPr>
                <w:color w:val="000000"/>
              </w:rPr>
              <w:t>100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68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Pr="002409FB" w:rsidRDefault="00027D0C" w:rsidP="00D42A3A">
            <w:pPr>
              <w:autoSpaceDE w:val="0"/>
              <w:autoSpaceDN w:val="0"/>
              <w:adjustRightInd w:val="0"/>
              <w:ind w:left="-42" w:right="-2"/>
              <w:jc w:val="center"/>
              <w:rPr>
                <w:color w:val="000000"/>
              </w:rPr>
            </w:pPr>
            <w:r w:rsidRPr="002409FB">
              <w:rPr>
                <w:color w:val="000000"/>
              </w:rPr>
              <w:t>356</w:t>
            </w:r>
          </w:p>
        </w:tc>
      </w:tr>
    </w:tbl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left="140" w:right="10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   </w:t>
      </w:r>
      <w:r>
        <w:rPr>
          <w:rFonts w:ascii="Times New Roman CYR" w:hAnsi="Times New Roman CYR" w:cs="Times New Roman CYR"/>
          <w:sz w:val="27"/>
          <w:szCs w:val="27"/>
        </w:rPr>
        <w:t xml:space="preserve">Кроме того, по состоянию на 01.01.2023 года в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Манском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районе зарегистрировано более 400 физических лиц, применяющих специальный налоговый режим «Налог на профессиональный доход». </w:t>
      </w:r>
    </w:p>
    <w:p w:rsidR="00027D0C" w:rsidRDefault="00027D0C" w:rsidP="00027D0C">
      <w:pPr>
        <w:tabs>
          <w:tab w:val="left" w:pos="709"/>
          <w:tab w:val="left" w:pos="851"/>
        </w:tabs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Среднесписочная численность работников организаций малого бизнеса в 2022 году составила 864 чел., в 2021 году – 772 чел. Значительное увеличение среднесписочной численности работников обусловлено переходом организации ООО «Агрохолдинг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» из категории средних предприятий в категорию малых предприятий. Основное количество работающих в организациях малого бизнеса - это сельское и лесное хозяйство (раздел А по ОКВЭД 2), обрабатывающие производства (раздел С), их доля составляет более 70 % от общей численности, занятых в предприятиях малого бизнеса.</w:t>
      </w:r>
    </w:p>
    <w:p w:rsidR="00027D0C" w:rsidRDefault="00027D0C" w:rsidP="00027D0C">
      <w:pPr>
        <w:autoSpaceDE w:val="0"/>
        <w:autoSpaceDN w:val="0"/>
        <w:adjustRightInd w:val="0"/>
        <w:ind w:left="140" w:right="100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          </w:t>
      </w:r>
      <w:r>
        <w:rPr>
          <w:rFonts w:ascii="Times New Roman CYR" w:hAnsi="Times New Roman CYR" w:cs="Times New Roman CYR"/>
          <w:sz w:val="27"/>
          <w:szCs w:val="27"/>
        </w:rPr>
        <w:t>Среднесписочная численность работников у индивидуальных предпринимателей в 2022 году составила 570 чел.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Среднемесячная заработная плата работников малых предприятий в 2022 году составила 27 746,27 руб. Среднемесячная заработная плата наемных работников индивидуальных предпринимателей в 2022 году составила 25 520,18 руб. Эти показатели больше по сравнению со среднемесячной заработной платой 2021 года. Увеличение заработной платы произошло в связи с повышением минимального размера оплаты труда (далее – МРОТ) в 2022 году. 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Оборот организаций малого бизнеса в 2022 году составил 1 751 842 тыс. руб., что больше уровня 2021 года (1 444 623 тыс. руб.) на 307 219 тыс. руб. или на 21,27 %, в том числе по некоторым видам деятельности в соответствии с ОКВЭД 2: 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6"/>
        <w:gridCol w:w="1461"/>
        <w:gridCol w:w="1274"/>
        <w:gridCol w:w="1559"/>
        <w:gridCol w:w="1276"/>
      </w:tblGrid>
      <w:tr w:rsidR="00027D0C" w:rsidTr="00D42A3A">
        <w:trPr>
          <w:trHeight w:val="454"/>
        </w:trPr>
        <w:tc>
          <w:tcPr>
            <w:tcW w:w="3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Наименование показателя</w:t>
            </w:r>
          </w:p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соответствии с ОКВЭД 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2020 год</w:t>
            </w:r>
          </w:p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(тыс. руб.)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2021 год</w:t>
            </w:r>
          </w:p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изменение</w:t>
            </w:r>
          </w:p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(тыс. руб.)</w:t>
            </w:r>
          </w:p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+ увеличение</w:t>
            </w:r>
          </w:p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- уменьшение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темп роста</w:t>
            </w:r>
          </w:p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(%)</w:t>
            </w:r>
          </w:p>
        </w:tc>
      </w:tr>
      <w:tr w:rsidR="00027D0C" w:rsidTr="00D42A3A">
        <w:trPr>
          <w:trHeight w:val="454"/>
        </w:trPr>
        <w:tc>
          <w:tcPr>
            <w:tcW w:w="3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lastRenderedPageBreak/>
              <w:t xml:space="preserve">Раздел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А  </w:t>
            </w:r>
            <w:r>
              <w:rPr>
                <w:rFonts w:ascii="Times New Roman CYR" w:hAnsi="Times New Roman CYR" w:cs="Times New Roman CYR"/>
                <w:color w:val="000000"/>
              </w:rPr>
              <w:t>Сельское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, лесное хозяйство, охота, рыболовство и рыбоводство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100 508,0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210430,0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+109 922,0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209,37*      </w:t>
            </w:r>
          </w:p>
        </w:tc>
      </w:tr>
      <w:tr w:rsidR="00027D0C" w:rsidTr="00D42A3A">
        <w:trPr>
          <w:trHeight w:val="454"/>
        </w:trPr>
        <w:tc>
          <w:tcPr>
            <w:tcW w:w="3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Раздел С </w:t>
            </w:r>
            <w:r>
              <w:rPr>
                <w:rFonts w:ascii="Times New Roman CYR" w:hAnsi="Times New Roman CYR" w:cs="Times New Roman CYR"/>
                <w:color w:val="000000"/>
              </w:rPr>
              <w:t>Обрабатывающие производства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643 193,0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701 690,0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+58 497,0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109,09</w:t>
            </w:r>
          </w:p>
        </w:tc>
      </w:tr>
      <w:tr w:rsidR="00027D0C" w:rsidTr="00D42A3A">
        <w:trPr>
          <w:trHeight w:val="454"/>
        </w:trPr>
        <w:tc>
          <w:tcPr>
            <w:tcW w:w="3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Раздел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F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 Строительство</w:t>
            </w:r>
            <w:proofErr w:type="gram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940,0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-243,0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74,15</w:t>
            </w:r>
          </w:p>
        </w:tc>
      </w:tr>
      <w:tr w:rsidR="00027D0C" w:rsidTr="00D42A3A">
        <w:trPr>
          <w:trHeight w:val="454"/>
        </w:trPr>
        <w:tc>
          <w:tcPr>
            <w:tcW w:w="3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Раздел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G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 Торговля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оптовая и розничная; ремонт автотранспортных средств и мотоциклов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153 388,0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197 526,0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+44 138,0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128,77</w:t>
            </w:r>
          </w:p>
        </w:tc>
      </w:tr>
      <w:tr w:rsidR="00027D0C" w:rsidTr="00D42A3A">
        <w:trPr>
          <w:trHeight w:val="1019"/>
        </w:trPr>
        <w:tc>
          <w:tcPr>
            <w:tcW w:w="3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Раздел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I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 Деятельность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гостиниц и предприятий общественного питания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24 894,0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11 753,0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-13 141,0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D0C" w:rsidRDefault="00027D0C" w:rsidP="00D42A3A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47,21</w:t>
            </w:r>
          </w:p>
        </w:tc>
      </w:tr>
    </w:tbl>
    <w:p w:rsidR="00027D0C" w:rsidRDefault="00027D0C" w:rsidP="00027D0C">
      <w:pPr>
        <w:autoSpaceDE w:val="0"/>
        <w:autoSpaceDN w:val="0"/>
        <w:adjustRightInd w:val="0"/>
        <w:ind w:right="100"/>
        <w:jc w:val="both"/>
        <w:rPr>
          <w:rFonts w:ascii="Times New Roman CYR" w:hAnsi="Times New Roman CYR" w:cs="Times New Roman CYR"/>
        </w:rPr>
      </w:pP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Большую часть в обороте организаций малого предпринимательства, включая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микропредприятия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(юридических лиц), в 2022 году составляет оборот: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- ООО «Премьер-Агро», ИНН 2424006779 – 480 558 тыс. руб. (27,43 % от общего оборота организаций);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- ООО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Сибспецтехника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», ИНН 2424007363 – 353 647 тыс. руб. (20,19 % от общего оборота организаций);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-Сельскохозяйственный производственный кооператив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», ИНН 2424008110 (действует с 08.07.2021 г.)  – 187 723 тыс. руб. (10,71 % от общего оборота организаций);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-    ООО «Агрохолдинг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», ИНН 2424003104 – 155 326 тыс. руб. (8,87 % от общего оборота организаций).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Согласно классификации основных видов деятельности по ОКВЭД 2 деятельность ООО «Премьер-Агро</w:t>
      </w:r>
      <w:proofErr w:type="gramStart"/>
      <w:r>
        <w:rPr>
          <w:rFonts w:ascii="Times New Roman CYR" w:hAnsi="Times New Roman CYR" w:cs="Times New Roman CYR"/>
          <w:sz w:val="27"/>
          <w:szCs w:val="27"/>
        </w:rPr>
        <w:t>»</w:t>
      </w:r>
      <w:proofErr w:type="gramEnd"/>
      <w:r>
        <w:rPr>
          <w:rFonts w:ascii="Times New Roman CYR" w:hAnsi="Times New Roman CYR" w:cs="Times New Roman CYR"/>
          <w:sz w:val="27"/>
          <w:szCs w:val="27"/>
        </w:rPr>
        <w:t xml:space="preserve"> и СПК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», относится к разделу С «Обрабатывающие производства», и оборот этих организаций отражается в строках 10.36.3 и 10.36 Прогноза СЭР. 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Деятельность ООО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Сибспецтехника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» относится к разделу Н «Транспортировка и хранение», и оборот этой организации отражается в строке 10.36 Прогноза СЭР. 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Деятельность ООО «Агрохолдинг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» относится к разделу А «Сельское, лесное хозяйство, охота, рыболовство и рыбоводство», оборот организации отражается в строках 10.36.1 и 10.36 Прогноза СЭР.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инвестиций в основной капитал организаций малого предпринимательства за 2022 год (102 947 тыс. руб.) увеличился в 1,98 раза по сравнению с 2021 годом (51 990 тыс. руб.) за счет добавления инвестиций ООО «Агрохолдинг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Камарчагский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» в составе малых предприятий, тогда как в 2021 году эта организация входила в состав средних предприятий, и её инвестиции </w:t>
      </w:r>
      <w:r>
        <w:rPr>
          <w:rFonts w:ascii="Times New Roman CYR" w:hAnsi="Times New Roman CYR" w:cs="Times New Roman CYR"/>
          <w:sz w:val="27"/>
          <w:szCs w:val="27"/>
        </w:rPr>
        <w:lastRenderedPageBreak/>
        <w:t>не учитывались в объеме инвестиций организаций малого предпринимательства в Прогнозе СЭР за 2021 год.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Субъекты малого и среднего предпринимательства категории «Среднее предпринимательство» на 01.01.2023 года в </w:t>
      </w:r>
      <w:proofErr w:type="spellStart"/>
      <w:r>
        <w:rPr>
          <w:rFonts w:ascii="Times New Roman CYR" w:hAnsi="Times New Roman CYR" w:cs="Times New Roman CYR"/>
          <w:color w:val="000000"/>
          <w:sz w:val="27"/>
          <w:szCs w:val="27"/>
        </w:rPr>
        <w:t>Манском</w:t>
      </w:r>
      <w:proofErr w:type="spellEnd"/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районе отсутствуют. 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В целях поддержки субъектов малого и среднего предпринимательства в районе утверждена муниципальная программа «Поддержка и развитие субъектов малого и среднего предпринимательства и формирование благоприятного инвестиционного климата на территории Манского района» на 2022 год и плановый период 2023-2024 годов (постановление администрации Манского района от 12.11.2021 № 668 (в ред. постановления администрации Манского района от 02.03.2022 № 108).</w:t>
      </w:r>
    </w:p>
    <w:p w:rsidR="00027D0C" w:rsidRDefault="00027D0C" w:rsidP="00027D0C">
      <w:pPr>
        <w:autoSpaceDE w:val="0"/>
        <w:autoSpaceDN w:val="0"/>
        <w:adjustRightInd w:val="0"/>
        <w:ind w:left="140" w:right="100" w:firstLine="70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В 2022 году в рамках мероприятия 2 «Субсидии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доход», на возмещение затрат при осуществлении предпринимательской деятельности» вышеуказанной муниципальной программы была оказана финансовая поддержка 4-м субъектам МСП на общую сумму 1 133,369 тыс. руб., из них средства краевого бюджета – 1 076,700 тыс. руб., средства местного бюджета – 56,669 тыс. руб.</w:t>
      </w:r>
    </w:p>
    <w:p w:rsidR="00027D0C" w:rsidRDefault="00027D0C" w:rsidP="00027D0C">
      <w:pPr>
        <w:tabs>
          <w:tab w:val="left" w:pos="567"/>
          <w:tab w:val="left" w:pos="709"/>
          <w:tab w:val="left" w:pos="3420"/>
        </w:tabs>
        <w:autoSpaceDE w:val="0"/>
        <w:autoSpaceDN w:val="0"/>
        <w:adjustRightInd w:val="0"/>
        <w:ind w:left="140" w:right="100"/>
        <w:jc w:val="both"/>
        <w:rPr>
          <w:b/>
          <w:bCs/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8. Результаты финансовой деятельности предприятий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D10570" w:rsidRDefault="00027D0C" w:rsidP="00027D0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10570">
        <w:rPr>
          <w:sz w:val="27"/>
          <w:szCs w:val="27"/>
        </w:rPr>
        <w:t>Налогооблагаемая база для исчисления налога на прибыль в 2022 году составила   54503 тыс. рублей.</w:t>
      </w:r>
    </w:p>
    <w:p w:rsidR="00027D0C" w:rsidRPr="00D10570" w:rsidRDefault="00027D0C" w:rsidP="00027D0C">
      <w:pPr>
        <w:autoSpaceDE w:val="0"/>
        <w:autoSpaceDN w:val="0"/>
        <w:adjustRightInd w:val="0"/>
        <w:ind w:firstLine="709"/>
        <w:jc w:val="both"/>
        <w:rPr>
          <w:color w:val="FF0000"/>
          <w:sz w:val="27"/>
          <w:szCs w:val="27"/>
        </w:rPr>
      </w:pPr>
      <w:r w:rsidRPr="00D10570">
        <w:rPr>
          <w:sz w:val="27"/>
          <w:szCs w:val="27"/>
        </w:rPr>
        <w:t>Количество прибыльных предприятий в 2022 году составило 2 предприятия. К 2026 году прибыльных предприятий увеличится до 3.</w:t>
      </w:r>
    </w:p>
    <w:p w:rsidR="00027D0C" w:rsidRPr="00AF343D" w:rsidRDefault="00027D0C" w:rsidP="00027D0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10570">
        <w:rPr>
          <w:sz w:val="27"/>
          <w:szCs w:val="27"/>
        </w:rPr>
        <w:t xml:space="preserve"> Удельный вес прибыльных организаций от общего числа организаций -100%.</w:t>
      </w:r>
    </w:p>
    <w:p w:rsidR="00027D0C" w:rsidRPr="00AF343D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9. Бюджет муниципального образования</w:t>
      </w: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autoSpaceDE w:val="0"/>
        <w:autoSpaceDN w:val="0"/>
        <w:adjustRightInd w:val="0"/>
        <w:ind w:right="200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Основные направления бюджетной и налоговой политики на 2022 год сформированы в соответствии с Бюджетным посланием Президента Российской Федерации Федеральному Собранию Российской Федерации «О бюджетной политике».</w:t>
      </w:r>
    </w:p>
    <w:p w:rsidR="00027D0C" w:rsidRDefault="00027D0C" w:rsidP="00027D0C">
      <w:pPr>
        <w:autoSpaceDE w:val="0"/>
        <w:autoSpaceDN w:val="0"/>
        <w:adjustRightInd w:val="0"/>
        <w:ind w:right="200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Бюджетная политика на 2022 год соответствует целям социально-экономического развития Манского района и обеспечивает преемственность мероприятий, обозначенных в бюджетной политике: повышение качества жизни населения, обеспечение безопасности и правопорядка, обеспечение социального развития и развития экономической базы Манского района.</w:t>
      </w:r>
    </w:p>
    <w:p w:rsidR="00027D0C" w:rsidRDefault="00027D0C" w:rsidP="00027D0C">
      <w:pPr>
        <w:autoSpaceDE w:val="0"/>
        <w:autoSpaceDN w:val="0"/>
        <w:adjustRightInd w:val="0"/>
        <w:ind w:right="200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Доходы бюджета муниципального образования в 2022 году составили 1001524,72 тыс. рублей, в 2023 году составят 1014544,54 тыс. рублей, к 2026 году составят 1096295,90 тыс. рублей.</w:t>
      </w:r>
    </w:p>
    <w:p w:rsidR="00027D0C" w:rsidRDefault="00027D0C" w:rsidP="00027D0C">
      <w:pPr>
        <w:autoSpaceDE w:val="0"/>
        <w:autoSpaceDN w:val="0"/>
        <w:adjustRightInd w:val="0"/>
        <w:ind w:right="200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За прошедший 2022 год сумма собственных доходов Манского района составила 652774,17,02 тыс. рублей, в 2023 году составит 681773,93 тыс. рублей, к 2026 году составят 736710,85 тыс. рублей. </w:t>
      </w:r>
    </w:p>
    <w:p w:rsidR="00027D0C" w:rsidRDefault="00027D0C" w:rsidP="00027D0C">
      <w:pPr>
        <w:autoSpaceDE w:val="0"/>
        <w:autoSpaceDN w:val="0"/>
        <w:adjustRightInd w:val="0"/>
        <w:ind w:right="200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lastRenderedPageBreak/>
        <w:t>Налоговые доходы консолидированного бюджета в 2022 году составили 100831,42 тыс. рублей.</w:t>
      </w:r>
    </w:p>
    <w:p w:rsidR="00027D0C" w:rsidRDefault="00027D0C" w:rsidP="00027D0C">
      <w:pPr>
        <w:autoSpaceDE w:val="0"/>
        <w:autoSpaceDN w:val="0"/>
        <w:adjustRightInd w:val="0"/>
        <w:ind w:right="200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Неналоговые доходы консолидированного бюджета в 2022 году составили 20439,40 тыс. рублей.</w:t>
      </w:r>
    </w:p>
    <w:p w:rsidR="00027D0C" w:rsidRDefault="00027D0C" w:rsidP="00027D0C">
      <w:pPr>
        <w:autoSpaceDE w:val="0"/>
        <w:autoSpaceDN w:val="0"/>
        <w:adjustRightInd w:val="0"/>
        <w:ind w:right="200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Безвозмездные поступления, за исключением субвенций, поступающие в консолидированный бюджет в 2022 году составили 531503,35 тыс. рублей.</w:t>
      </w:r>
    </w:p>
    <w:p w:rsidR="00027D0C" w:rsidRDefault="00027D0C" w:rsidP="00027D0C">
      <w:pPr>
        <w:autoSpaceDE w:val="0"/>
        <w:autoSpaceDN w:val="0"/>
        <w:adjustRightInd w:val="0"/>
        <w:ind w:right="200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Доля налоговых и неналоговых доходов консолидированного бюджета (за исключением поступлений доходов по дополнительным нормативам отчислений) в общем объеме собственных доходов бюджета, за исключением субвенций в 2022 году составила 18,58 %.</w:t>
      </w:r>
    </w:p>
    <w:p w:rsidR="00027D0C" w:rsidRDefault="00027D0C" w:rsidP="00027D0C">
      <w:pPr>
        <w:autoSpaceDE w:val="0"/>
        <w:autoSpaceDN w:val="0"/>
        <w:adjustRightInd w:val="0"/>
        <w:ind w:right="200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Расходы бюджета Манского района в 2022 год составили в сумме 1015665,09 тыс. рублей. В 2023 году планируются расходы в сумме 1028868,74 тыс. руб. К 2026 году расходы составят 1111774,33 тыс. рублей. Суммы субвенций, формирующие доходную часть бюджета, находят свое отражение в расходной части бюджета. </w:t>
      </w:r>
    </w:p>
    <w:p w:rsidR="00027D0C" w:rsidRPr="00AF343D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10. Общественное питание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2409FB" w:rsidRDefault="00027D0C" w:rsidP="00027D0C">
      <w:pPr>
        <w:keepNext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Количество общедоступных столовых, закусочных в 2022 году составило 4 единицы. </w:t>
      </w:r>
    </w:p>
    <w:p w:rsidR="00027D0C" w:rsidRPr="002409FB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>Количество столовых учебных заведений, организаций, промышленных предприятий составляет 13 единиц.</w:t>
      </w:r>
    </w:p>
    <w:p w:rsidR="00027D0C" w:rsidRPr="002409FB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>Оборот общественного питания в 2022 году составил 47484,20 тысяч рублей. Оценка 2023 года 52599,20 тысяч рублей. В прогнозируемом 2024 году оборот достигнет 56082,70 тысяч рублей, к 2025 году оборот общественного питания составит 59375,80 тысяч рублей и к 2026 году оборот общественного питания составит 62862,40 тысяч рублей.</w:t>
      </w:r>
    </w:p>
    <w:p w:rsidR="00027D0C" w:rsidRPr="002409FB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>Увеличение объема оборота общественного питания связано с тем, что по территории района проходит автодорога Р-255 «Сибирь» федерального значения, на которой действует большая сеть пунктов общественного питания. Кроме того, на территории Манского района проходит автомобильная дорога краевого значения «Саяны», связывающая краевой центр, восточные районы края с южными районами. В связи с этим развивается придорожный сервис с пунктами быстрого приготовления питания.</w:t>
      </w:r>
    </w:p>
    <w:p w:rsidR="00027D0C" w:rsidRDefault="00027D0C" w:rsidP="00027D0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11. Розничная торговля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2409FB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>На территории муниципального образования торговую деятельность осуществляют предприятия частной форм собственности и предприятие потребкооперации.</w:t>
      </w:r>
    </w:p>
    <w:p w:rsidR="00027D0C" w:rsidRPr="002409FB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За 2022 год населению района продано товаров через все каналы реализации на сумму 1318319,40 тысяч рублей. </w:t>
      </w:r>
    </w:p>
    <w:p w:rsidR="00027D0C" w:rsidRPr="002409FB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В 2022 году действовало магазинов 118 единиц, общей площадью 7860,1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кв.м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., а также действовало павильонов 17 единиц, общей площадью 370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кв.м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>.</w:t>
      </w:r>
    </w:p>
    <w:p w:rsidR="00027D0C" w:rsidRPr="002409FB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t xml:space="preserve">Обеспеченность торговыми площадями на 1000 жителей в 2022 году составила 574,07 </w:t>
      </w:r>
      <w:proofErr w:type="spellStart"/>
      <w:r w:rsidRPr="002409FB">
        <w:rPr>
          <w:rFonts w:ascii="Times New Roman CYR" w:hAnsi="Times New Roman CYR" w:cs="Times New Roman CYR"/>
          <w:sz w:val="27"/>
          <w:szCs w:val="27"/>
        </w:rPr>
        <w:t>кв.м</w:t>
      </w:r>
      <w:proofErr w:type="spellEnd"/>
      <w:r w:rsidRPr="002409FB">
        <w:rPr>
          <w:rFonts w:ascii="Times New Roman CYR" w:hAnsi="Times New Roman CYR" w:cs="Times New Roman CYR"/>
          <w:sz w:val="27"/>
          <w:szCs w:val="27"/>
        </w:rPr>
        <w:t xml:space="preserve">. </w:t>
      </w:r>
    </w:p>
    <w:p w:rsidR="00027D0C" w:rsidRPr="002409FB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409FB">
        <w:rPr>
          <w:rFonts w:ascii="Times New Roman CYR" w:hAnsi="Times New Roman CYR" w:cs="Times New Roman CYR"/>
          <w:sz w:val="27"/>
          <w:szCs w:val="27"/>
        </w:rPr>
        <w:lastRenderedPageBreak/>
        <w:t>На увеличение оборота торговли влияет фактор близкого расположения района с г. Красноярском. Большая часть жителей района приобретает товары на базах г. Красноярс</w:t>
      </w:r>
      <w:r>
        <w:rPr>
          <w:rFonts w:ascii="Times New Roman CYR" w:hAnsi="Times New Roman CYR" w:cs="Times New Roman CYR"/>
          <w:sz w:val="27"/>
          <w:szCs w:val="27"/>
        </w:rPr>
        <w:t>ка.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12. Платные услуги населению</w:t>
      </w: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Объем платных услуг в 2022 году составил 167855,84 тыс. руб., в 2021 году -158354,57 тыс. руб. Темп роста в сопоставимых ценах в 2022 году к 2021 году составил 95,70 %.  Снижение темпа роста объема платных услуг населению наблюдается во всех структурах услуг.</w:t>
      </w:r>
    </w:p>
    <w:p w:rsidR="00027D0C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По оценке 2023 года объем платных услуг населению составит 186279,70 тыс. руб. К 2026 году объем платных услуг составит 222791,29 тыс. руб. 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В структуре услуг преобладает объем платных коммунальных услуг, оказанных населению (35,46 % от общего объема платных услуг). Платные транспортные услуги населению в 2022 году составили 16,26 %, платные услуги связи составили 18,42 %.</w:t>
      </w:r>
    </w:p>
    <w:p w:rsidR="00027D0C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платных бытовых услуг, предоставленных населению в 2022 году, составил 3688,22 тыс. рублей. </w:t>
      </w:r>
    </w:p>
    <w:p w:rsidR="00027D0C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транспортных платных услуг, оказанных населению в 2022 году, составил 27293,66 тыс. рублей. </w:t>
      </w:r>
    </w:p>
    <w:p w:rsidR="00027D0C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платных услуг связи, оказанных населению в 2022 году, составил 30920,44 тыс. рублей. </w:t>
      </w:r>
    </w:p>
    <w:p w:rsidR="00027D0C" w:rsidRDefault="00027D0C" w:rsidP="00027D0C">
      <w:pPr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Объем коммунальных платных услуг, оказанных населению в 2020 году, составил 59521,25 тыс. рублей.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платных услуг, оказанных населению организациями муниципальной формы собственности в 2022 году, составил 17700,20 тыс. рублей. </w:t>
      </w:r>
    </w:p>
    <w:p w:rsidR="00027D0C" w:rsidRPr="00AF343D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ind w:right="-2"/>
        <w:jc w:val="both"/>
        <w:rPr>
          <w:sz w:val="27"/>
          <w:szCs w:val="27"/>
        </w:rPr>
      </w:pP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13. Уровень жизни населения</w:t>
      </w: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Среднедушевые денежные доходы населения в месяц в 2022 году составили 19871,70 руб./чел., в 2023 году ожидается 22057,60 руб./чел., и к 2026 году составят 27197,30 руб./чел. Рост среднедушевых денежных доходов произойдет в основном на 106,6 % за счет роста пенсий и заработной платы работников бюджетной сферы, темп роста реальных доходов составит к 2026 году 102,5%.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Фонд заработной платы работников списочного состава организаций и внешних совместителей по полному кругу организаций (далее - ФЗП) в 2022 году составил 1162572,50,10 тысяч рублей, вырос на 10,3 %. В 2023 году рост ФЗП составит 84867,8 тысяч рублей. В 2026 году ФЗП ожидается на уровне 1524846,60 тысяч рублей.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Среднемесячная заработная плата работников списочного состава организаций и внешних совместителей по полному кругу организаций в 2022 году составила 41278,67 рублей, против 35990,8 руб. в 2021 году. В 2023 году среднемесячная заработная плата достигнет 45819,30,40 руб., и в 2026 году ожидается 56495,80 руб.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lastRenderedPageBreak/>
        <w:t xml:space="preserve">           Рост среднемесячной номинальной заработной платы в 2022 году поясняется повышением МРОТ с 01.01.2022 года и с 01.06.2022 года. Рост заработной платы работников бюджетной сферы объясняется индексированием окладов работников бюджетной сферы с 01.07.2022 года.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Объем просроченной задолженности по оплате труда (включая начисления на оплату труда) на начало периода отсутствует.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14. Рынок труда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Численность занятых в экономике (среднегодовая) в 2022 году составила 4,335 тыс. человек против 4,165 тыс. чел. в 2021 году.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В 2022 году численность трудовых ресурсов составила 7,856 тыс. чел. В 2023 году предполагается, что численность трудовых ресурсов составит 7,861 тыс. чел. В 2026 году численность трудовых ресурсов будет составлять порядка 7,950 тыс. человек и 4,463 тыс. человек будет численность занятых в экономике.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Численность безработных граждан, зарегистрированных в государственном учреждении службы занятости населения, на конец 2022 года составила 109 человек, против 76 человек на конец 2021 года.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Уровень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зареистрированной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безработицы в 2022 году составил 1,5 %.</w:t>
      </w:r>
    </w:p>
    <w:p w:rsidR="00027D0C" w:rsidRDefault="00027D0C" w:rsidP="00027D0C">
      <w:pPr>
        <w:autoSpaceDE w:val="0"/>
        <w:autoSpaceDN w:val="0"/>
        <w:adjustRightInd w:val="0"/>
        <w:ind w:left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Среднесписочная численность работников списочного состава организаций без внешних совместителей по полному кругу организаций 2022 году составила 2347 человек, ожидаемая в 2023 году-2265 человек.</w:t>
      </w: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15. Демографическая ситуация</w:t>
      </w: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AF343D">
        <w:rPr>
          <w:sz w:val="27"/>
          <w:szCs w:val="27"/>
        </w:rPr>
        <w:tab/>
      </w:r>
      <w:r>
        <w:rPr>
          <w:rFonts w:ascii="Times New Roman CYR" w:hAnsi="Times New Roman CYR" w:cs="Times New Roman CYR"/>
          <w:sz w:val="27"/>
          <w:szCs w:val="27"/>
        </w:rPr>
        <w:t xml:space="preserve">Численность населения района в 2022 году (среднегодовая) составила 13692 человека, против 15061 человек в 2021 году (по состоянию на 01.01.2001 года была 19000 человек). Уменьшение численности населения происходит за счёт миграции, т.е. из района уезжает населения больше, чем приезжает, а также смертность населения больше, чем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рождаемость.Так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же в 2022 году были опубликованы данные всероссийской переписи населения, из которой наблюдается значительной уменьшение населения на территории Манского района. Оценка 2022 года составит 13482 человек и по прогнозу 2025 года снизится до 12857 человек.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Численность постоянного населения в среднем за 2022 год в трудоспособном возрасте составляла 7476 человек против 7055 человек в 2021 году.    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Из общего количества населения 4731 человек – пенсионеры, детей в возрасте до 16 лет – 3424 человека. 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Количество родившихся за период 2022 года составило 147 человек, количество умерших составило 284 человек. Естественный прирост (+), убыль (-) населения составила -137 человек.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Численность прибывшего за год населения в 2022 году составила 764 человек. Численность выбывшего за год населения составила 842 человек. Миграционная убыль населения составила -78 человек.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lastRenderedPageBreak/>
        <w:t>С 1990 г наблюдается четко выраженная тенденция к старению трудовых ресурсов, снижение численности в возрасте моложе трудоспособного и увеличение пенсионеров.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Количество пенсионеров составляет 34,29 %- треть всего населения, что выше средне краевых показателей. 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Половозрастная структура населения района характеризуется большим преобладанием мужского населения в возрастном периоде от рождения до 55 лет, а с 57 лет ситуация резко изменяется в сторону преобладания женского населения, а всего женщин – 51,34%, мужчин – 48,66 %.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6B68EA" w:rsidRDefault="00027D0C" w:rsidP="00027D0C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16. Образование</w:t>
      </w:r>
    </w:p>
    <w:p w:rsidR="00027D0C" w:rsidRDefault="00027D0C" w:rsidP="00027D0C">
      <w:pPr>
        <w:autoSpaceDE w:val="0"/>
        <w:autoSpaceDN w:val="0"/>
        <w:adjustRightInd w:val="0"/>
        <w:spacing w:before="120"/>
        <w:ind w:firstLine="720"/>
        <w:jc w:val="both"/>
        <w:rPr>
          <w:rFonts w:ascii="Times New Roman CYR" w:hAnsi="Times New Roman CYR" w:cs="Times New Roman CYR"/>
          <w:b/>
          <w:bCs/>
          <w:sz w:val="27"/>
          <w:szCs w:val="27"/>
          <w:u w:val="single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Дошкольное образование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Главной целью дошкольного образования Манского района является – формирование системы обеспечения качества образовательных услуг дошкольного образования через управление доступностью дошкольного образования, которое бы позволило обеспечить уровень и качество работы системы дошкольного образования в соответствии с потребностями района.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Сохранение сети дошкольных образовательных учреждений и их дальнейшее развитие, на увеличение мест в дошкольных образовательных учреждениях является одной из важных задач дошкольного образования.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Количество дошкольных образовательных организаций всех форм собственности, на начало учебного года в 2022 году составило 6 единиц. В 2023-2024 учебном году планируется открытие еще одного детского сада в с. Тертеж, общей вместимостью 30 человек.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Количество дошкольных образовательных организаций муниципальной формы собственности, здания которых требуют капитального ремонта, на начало учебного года составило 2 единицы: МБДОУ детский сад «Ручеек» 1978 года постройки и МБДОУ детский сад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Журавушка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». При условии выполнения работ по приведению в соответствие с требованиями органов государственного надзора здания МБДОУ детский сад «Ручеек» будет возможно открытие еще одной группы для 20 детей от 1,5 до 3 лет.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В районе функционируют 6 дошкольных образовательных учреждений, которые посещают 486 человек.</w:t>
      </w:r>
    </w:p>
    <w:p w:rsidR="00027D0C" w:rsidRDefault="00027D0C" w:rsidP="00027D0C">
      <w:pPr>
        <w:autoSpaceDE w:val="0"/>
        <w:autoSpaceDN w:val="0"/>
        <w:adjustRightInd w:val="0"/>
        <w:spacing w:before="120"/>
        <w:ind w:right="-5" w:firstLine="720"/>
        <w:jc w:val="both"/>
        <w:rPr>
          <w:rFonts w:ascii="Times New Roman CYR" w:hAnsi="Times New Roman CYR" w:cs="Times New Roman CYR"/>
          <w:b/>
          <w:bCs/>
          <w:sz w:val="27"/>
          <w:szCs w:val="27"/>
          <w:u w:val="single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Общее образование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Сеть общеобразовательных учреждений Манского района состоит из 12 учреждений, среди них: 8 средних общеобразовательных школ, 4 основных школ. Всего учащихся в 2022 – 2023 учебном году составило 1801 человек.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Подвоз в 2022 – 2023 учебном году осуществлялся 15 школьными автобусами по 43 маршрутам, на подвозе было 497 обучающихся из 12 школ района.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1 выпускник 2022-2023 учебного года 11 классов получили медали «За особые успехи в учении».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Численность учащихся в дневных образовательных организациях, занимающихся во вторую смену, на начало учебного года составило 161 обучающихся.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7"/>
          <w:szCs w:val="27"/>
          <w:u w:val="single"/>
        </w:rPr>
      </w:pPr>
    </w:p>
    <w:p w:rsidR="00027D0C" w:rsidRDefault="00027D0C" w:rsidP="00027D0C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/>
          <w:bCs/>
          <w:sz w:val="27"/>
          <w:szCs w:val="27"/>
          <w:u w:val="single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lastRenderedPageBreak/>
        <w:t>Дополнительное образование и организация работы с одаренными детьми.</w:t>
      </w:r>
    </w:p>
    <w:p w:rsidR="00027D0C" w:rsidRDefault="00027D0C" w:rsidP="00027D0C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7"/>
          <w:szCs w:val="27"/>
          <w:u w:val="single"/>
        </w:rPr>
      </w:pP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В объединениях МБУ ДО РДДТ занимаются 345 детей.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Количество обучающихся в учреждении по направлениям: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Художественное - 44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Техническое - 110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Социально-педагогическое - 39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Туристско-краеведческое - 11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Спортивное – 81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Естественнонаучное - 60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 </w:t>
      </w:r>
      <w:r>
        <w:rPr>
          <w:rFonts w:ascii="Times New Roman CYR" w:hAnsi="Times New Roman CYR" w:cs="Times New Roman CYR"/>
          <w:sz w:val="27"/>
          <w:szCs w:val="27"/>
        </w:rPr>
        <w:tab/>
        <w:t>Объединения Дома творчества открыты на базе образовательных учреждений: МБУ ДО РДДТ, МБОУ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Нарвинская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СШ им. В.И. Круглова», МБОУ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Шалинская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СШ №1», МБДОУ детский сад «Солнышко», МБДОУ детский сад «Радуга», МБДОУ детский сад «Тополек», МБДОУ детский сад «Ручеек», МБДОУ детский сад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Журавушка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», Всего в МБУ ДО РДДТ реализуется 18 программ по 5 направлениям, охватывая разные возрастные категории (с 5 до 18 лет).</w:t>
      </w:r>
    </w:p>
    <w:p w:rsidR="00027D0C" w:rsidRPr="00AF343D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17. Культура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Отрасль культуры в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Манском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районе рассматривается как важнейший ресурс развития территории, основной целью которой является создание единого культурного пространства, сохранение культурного наследия, поддержка творческих инициатив, а также создание и развитие культурно-туристических маршрутов.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Культура и духовное развитие всегда оказывали и оказывают сильное влияние на все сферы и стороны работы управления муниципального образования. В последние годы отмечается стабильность показателей деятельности культурных учреждений: сохраняется   численность обучаемых детей в детской школе искусств, посещаемость массовых культурных мероприятий и книговыдача в библиотеках, с каждым годом обновляется книжный фонд библиотек.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Население района обслуживает 45 учреждений культуры, из них: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Манская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централизованная клубная система (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Манская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ЦКС) включающая в себя 12 сельских Домов культуры, 9 сельских клубов, Районный Дом культуры (РДК),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Манская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централизованная библиотечная система (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Манская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ЦБС) с 22 структурными подразделениями: 20 сельских библиотек, Районная детская библиотека, Центральная районная библиотека имени Анатолия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Чмыхало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Шалинская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детская школа искусств.</w:t>
      </w:r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Программа деятельности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Манской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ЦКС ориентирована на достижения и сохранение уникального культурного потенциала Манского района и его дальнейшего развития.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Манская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ЦКС организует поддержку и развитие всех видов жанров, создает благоприятные условия для широкого доступа всех социальных слоев к ценностям и услугам культуры. Число клубных </w:t>
      </w:r>
      <w:r>
        <w:rPr>
          <w:rFonts w:ascii="Times New Roman CYR" w:hAnsi="Times New Roman CYR" w:cs="Times New Roman CYR"/>
          <w:sz w:val="27"/>
          <w:szCs w:val="27"/>
        </w:rPr>
        <w:lastRenderedPageBreak/>
        <w:t xml:space="preserve">формирований культурно-досуговых учреждений района составило в 2022 году- 204, численность посетителей на платных мероприятиях учреждений культурно-досугового типа в 2022 г. – 5815 </w:t>
      </w:r>
      <w:proofErr w:type="gramStart"/>
      <w:r>
        <w:rPr>
          <w:rFonts w:ascii="Times New Roman CYR" w:hAnsi="Times New Roman CYR" w:cs="Times New Roman CYR"/>
          <w:sz w:val="27"/>
          <w:szCs w:val="27"/>
        </w:rPr>
        <w:t>чел..</w:t>
      </w:r>
      <w:proofErr w:type="gramEnd"/>
    </w:p>
    <w:p w:rsidR="00027D0C" w:rsidRDefault="00027D0C" w:rsidP="00027D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Традиционные районные смотры и конкурсы по жанрам искусства: районный фестиваль детской эстрадной песни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Манская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жемчужинка», районный смотр-конкурс взрослых творческих коллективов и исполнителей «Звени и пой, район мой Манский», районный конкурс хореографических коллективов «Танцевальная планета», районный конкурс любительского театрального искусства для взрослых «Премьера» и детей «Золотой ключик» так же проводились в онлайн-режиме.</w:t>
      </w:r>
    </w:p>
    <w:p w:rsidR="00027D0C" w:rsidRDefault="00027D0C" w:rsidP="00027D0C">
      <w:pPr>
        <w:tabs>
          <w:tab w:val="left" w:pos="3828"/>
          <w:tab w:val="center" w:pos="4153"/>
          <w:tab w:val="right" w:pos="8306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С 2000 г. в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Манском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районе, в д. Выезжий Лог проводился краевой фестиваль авторской песни «Высоцкий и Сибирь». С 2007 г. фестиваль сменил место проведения: он по-прежнему проходит на берегу р.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, но вблизи с. Нарва. Одной из основных причин смены места проведения стало увеличение числа зрителей и участников. С каждым годом фестиваль становится всё популярнее, расширяет свои границы и привлекает всё больше зрителей и участников из разных территорий края и соседних регионов. В 2014 году фестиваль впервые прошел в формате летней арт-резиденции «Выси», главная миссия которой заключалась в создании атмосферы творческого и культурного обмена между профессионалами, любителями и зрителями в жанровых творческих студиях. В 2019 году продолжилась реализация проекта «Летняя Арт-резиденция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ВыСи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». Арт-резиденция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ВыСи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» включает в себя 4 творческие студии: музыкальную, фото -,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видеотворчества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, изобразительного искусства и театрально-поэтическую. Для всех гостей работали творческих студии: «Струна» (исполнение песен под гитару), «Таганка» (поэтическая), «Вертикаль» (фото-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видеотворчества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), «Россыпи» (изобразительного искусства). Программа каждой из площадок была интересна и разнообразна. Так же стоит отметить о создании новой творческой студии «Вершина», в которой проходили мастер классы по обучению основам игры на гитаре.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</w:t>
      </w:r>
      <w:r>
        <w:rPr>
          <w:rFonts w:ascii="Times New Roman CYR" w:hAnsi="Times New Roman CYR" w:cs="Times New Roman CYR"/>
          <w:sz w:val="27"/>
          <w:szCs w:val="27"/>
        </w:rPr>
        <w:t xml:space="preserve"> 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ab/>
        <w:t xml:space="preserve">В 2022 г. жителей Манского района обслуживали 2 районные (взрослая и детская) и 20 сельских библиотек. Основные функции библиотеки – информационная, образовательная и досуговая. 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ab/>
        <w:t>Библиотечный фонд общедоступных библиотек всех форм собственности в 2022 году составил 178 тысяч 939 экземпляров.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ab/>
        <w:t xml:space="preserve">Посещаемость является важнейшим показателем деятельности библиотеки.  Он напрямую связан с объемом и качеством комплектования фондов, и число посещений библиотек в 2022 г. в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Манском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районе составило 156 200. Библиотеки района пользуются тремя источниками финансирования: бюджет, благотворительность и собственные доходы от предпринимательской деятельности. По итогам 2022 г. фонды общедоступных библиотек пополнились на 5461 экземпляр.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ab/>
        <w:t xml:space="preserve">Библиотекари занимаются разнообразной культурно-досуговой деятельностью, чтобы создать комфортную библиотечную среду.  Активную работу проводят все сельские и районная детская библиотеки по организации летнего чтения детей, работая в тесном контакте с образовательными </w:t>
      </w:r>
      <w:r>
        <w:rPr>
          <w:rFonts w:ascii="Times New Roman CYR" w:hAnsi="Times New Roman CYR" w:cs="Times New Roman CYR"/>
          <w:sz w:val="27"/>
          <w:szCs w:val="27"/>
        </w:rPr>
        <w:lastRenderedPageBreak/>
        <w:t xml:space="preserve">учреждениями.  Особенностью таких мероприятий является сочетание игровых и информационно-познавательных    форм массовой работы. 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ab/>
        <w:t>У библиотек есть свои брендовые мероприятия. Это ежегодные районные конкурсы и фестивали. Конкурс юных читателей «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Суперчитатель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» ежегодно проводится в дни весенних каникул.  Поэты района собираются на свой любимый фестиваль «Манский Парнас», проводимый в районе с 2006 г., где не только читают свои творения и делятся опытом, но и принимают решения о подготовке и выпуске поэтических сборников. 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ab/>
        <w:t>Библиотеки района как социальные институты работают не изолированно, а во взаимодействии с другими учреждениями и организациями.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ab/>
        <w:t xml:space="preserve">В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Шалинской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детской школе искусств по данным за 2022 год обучается 105 детей. Школа реализует основные виды дополнительных общеобразовательных программ - дополнительных общеразвивающих программ следующей направленности: «Фольклорное искусство» (художественно-эстетической направленности), «Инструментальное исполнительство» (фортепиано, баян, аккордеон, гитара), «Общее эстетическое образование» (хореография) и «Изобразительное искусство».  Итоги деятельности школы искусств проявляются в отчетных концертах, ежегодно проводимых на сцене ММДК. Украшением и гордостью школы искусств является фольклорный ансамбль «Веретёнце». Работу с детьми ведут преподаватели с высокой профессиональной подготовкой, с большим стажем работы, все они увлечены своим делом и неравнодушны к судьбам детей.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18. Физическая культура и спорт</w:t>
      </w: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Численность населения, систематически занимающегося физкультурой и спортом, на конец   2022 года составила -5879 человек, в   2023 году составит - 6456 человек, к   2026 году составит- 7052 человек.</w:t>
      </w:r>
    </w:p>
    <w:p w:rsidR="00027D0C" w:rsidRDefault="00027D0C" w:rsidP="00027D0C">
      <w:pPr>
        <w:tabs>
          <w:tab w:val="left" w:pos="426"/>
          <w:tab w:val="left" w:pos="709"/>
        </w:tabs>
        <w:autoSpaceDE w:val="0"/>
        <w:autoSpaceDN w:val="0"/>
        <w:adjustRightInd w:val="0"/>
        <w:ind w:firstLine="24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    Численность детей и молодежи в возрасте 3-29 лет, систематически занимающихся физической культурой и спортом в 2022 году составила - 4135 человек, в 2023 году составит – 4335 человек, в 2026 году составит - 4370 человек.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24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    Численность граждан среднего возраста (женщины в возрасте 30-54 лет, мужчины в возрасте 30-59 лет), систематически занимающихся физической культурой и спортом в 2022 году составила - 1470 человек, в 2023 году составит – 1700 человек, в 2026 году составит - 1876 человек.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24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    Численность граждан старшего возраста (женщины в возрасте 55-79 лет, мужчины в возрасте 60-79 лет), систематически занимающихся физической культурой и спортом в 2022 году составила – 320 человек, в 2023 году составит – 530 человек, в 2026 году составит - 685 человек.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24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    Количество проведенных физкультурных и спортивных мероприятий муниципального уровня   в 2022 году составило – 59 мероприятий, в 2023 году составит - 68 мероприятий, в 2026 году составит- 76 мероприятий.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24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   Численность участников физкультурных и спортивных мероприятий муниципального уровня   в 2022 году составило -8730 человек, в 2023 году составит – 8790 человек, в 2026 году составит - 8880 человек.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24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lastRenderedPageBreak/>
        <w:t>Доля детей и молодежи в возрасте 3-29 лет, систематически занимающихся физической культурой и спортом в 2022 году, составила – 87,83,39%, в 2023 году составит - 92,73%, в 2026 году составит - 93,43%.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24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    Доля граждан среднего возраста (женщины в возрасте 30-54 лет, мужчины в возрасте 30-59 лет), систематически занимающихся физической культурой и спортом в 2022 году составила - 29,41%, в 2023 году составит – 30,59%, в 2026 году составит – 36,62%.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24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    Доля граждан старшего возраста (женщины в возрасте 55-79 лет, мужчины в возрасте 60-79 лет), систематически занимающихся физической культурой и спортом в 2022 году составила - 7,97%, в 2023 году составит - 13,09%, в 2026 году составит - 18,04%.</w:t>
      </w:r>
    </w:p>
    <w:p w:rsidR="00027D0C" w:rsidRPr="00AF343D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19. Социальная защита населения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Территориальное отделение «Управление социальной защиты населения» по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Манскому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району Красноярского края (далее – территориальное отделение) предоставляет полный комплекс мер социальной поддержки льготным категориям граждан и жителям района, попавшим в трудную жизненную ситуацию.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Основные задачи деятельности управления заключаются в: 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профессиональном исполнении полномочий по социальной поддержке населения;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эффективном использовании бюджетных средств;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своевременном оказании социальной поддержки нуждающимся гражданам;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усилении адресной помощи и создании условий для самореализации граждан;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проведении системной информационно-разъяснительной работы с населением по вопросам предоставления социальных гарантий и государственных услуг, а также услуг в электронном виде.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состоянию на 01.01.2023 на учете в территориальном отделении состоит 10065 человек по следующим категориям: 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Инвалид ВОВ -1 человек (Григорьев Н.Ф.), пенсионеров - 4265 человек, Ветеран труда -697 человека, Ветеран Красноярского края- 939 человека, труженик тыла - 26 человек, Ветераны боевых действий -73 человек, реабилитированные-129 человек, семей с детьми- 2009 из них многодетных семей – 369, семей с детьми инвалидами 55, в них 61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ребенк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инвалид. 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2022 году деятельность территориального отделения была регламентирована государственной программой «Развитие системы государственной поддержки граждан». 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Территориальное отделение предоставляет жителям района 46 государственных услуг, обеспечивая социальную поддержку 30 льготных категорий граждан. 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За единовременной адресной материальной помощью на ремонт жилья, на ремонт печей и (или) электропроводки и в связи с ТЖС обратились 359 граждан. 9 семей воспользовались адресной материальной помощью на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ведение личного подсобного хозяйства (прибрели крупнорогатый скот).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Государственная социальная помощь на основании социального контракта предоставлена 90 гражданам (заключен социальный контракт). 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Наряду с федеральным и краевым законодательством о социальной поддержке семей с детьми в Красноярском крае предусмотрены дополнительные меры поддержки многодетных семей.  В 2022 году 24 семьи получили сертификат на краевой материнский (семейный) капитал (МСК), в, распорядились средствами МСК 171 семья.    Чаще всего граждане используют средства МСК на улучшение жилищных условий, приобретение транспорта и получение денежных выплат.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предотвращения случаев пожаров и гибели детей в многодетных семьях, семьях с детьми-инвалидами и семьях, находящихся в социально опасном положении государственной программой предусмотрено обеспечение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извещателями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дымовыми автономными. Работа с семьями по предоставлению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извещателей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дымовыми автономными и профилактике бытовых пожаров в 2022году велась в соответствии с установленным графиком.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ab/>
        <w:t xml:space="preserve">На сегодняшний день востребованность в социальной поддержке населения района не уменьшается. Потребность в развитии системы социальной защиты, реализации мероприятий по формированию доступной среды для лиц с ограниченными возможностями здоровья обусловлена введением дополнительных мер социальной поддержки для отдельных категорий граждан, повышением внимания государства. 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В целях повышения удобства при личном обращении заявителей на оказание мер социальной поддержки в территориальном отделении ведется работа по предоставлению государственных и муниципальных услуг по гибкому графику и принципу "Одного окна" (в клиентской службе прием документов осуществляют 2 специалиста)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Обработка предоставленных документов и назначение соответствующих мер социальной поддержки осуществляется непосредственно специалистами сектора предоставления мер социальной поддержки и реализации социальных гарантий (обработка документов, назначение мер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соц.поддержки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осуществляю 5 специалистов отделения).  </w:t>
      </w:r>
    </w:p>
    <w:p w:rsidR="00027D0C" w:rsidRDefault="00027D0C" w:rsidP="00027D0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В территориальном отделении работает телефон горячей линий по консультированию граждан, номер размещен на досках объявлений, КГБУ СО «КЦСОН «Манский», на стендах в сельсоветах и на официальном сайте министерства социальной политики Красноярского края.</w:t>
      </w:r>
    </w:p>
    <w:p w:rsidR="00027D0C" w:rsidRPr="00AF343D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20. Жилищно-коммунальное хозяйство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отпуска тепловой энергии в 2022 году составил 34,45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тыс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Гкал. в 2023 году составит 35,28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тыс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Гкал, к 2026 году объем отпуска тепловой энергии </w:t>
      </w:r>
      <w:proofErr w:type="gramStart"/>
      <w:r>
        <w:rPr>
          <w:rFonts w:ascii="Times New Roman CYR" w:hAnsi="Times New Roman CYR" w:cs="Times New Roman CYR"/>
          <w:sz w:val="27"/>
          <w:szCs w:val="27"/>
        </w:rPr>
        <w:t>составит  42</w:t>
      </w:r>
      <w:proofErr w:type="gramEnd"/>
      <w:r>
        <w:rPr>
          <w:rFonts w:ascii="Times New Roman CYR" w:hAnsi="Times New Roman CYR" w:cs="Times New Roman CYR"/>
          <w:sz w:val="27"/>
          <w:szCs w:val="27"/>
        </w:rPr>
        <w:t xml:space="preserve">,00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тыс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Гкал.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Пропущено сточных вод 44,19 тыс. куб. м. К 2026 году пропуск сточных вод будет на уровне 52,00 тыс. куб. м.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lastRenderedPageBreak/>
        <w:t>Пропущено сточных вод от населения в 2022 году составило 39,48 тыс. куб. м.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Пропущено сточных вод от других канализаций или отдельных канализационных сетей 0 тыс. куб. м. 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Процент подписанных паспортов готовности котельных к эксплуатации в зимних условиях в 2022 году составил 75 %, в 2023 году составит 100%.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Количество источников теплоснабжения всех форм собственности, на конец периода составило 8 единиц.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Суммарная установленная часовая тепловая мощность котлов на источниках теплоснабжения всех форм собственности, на конец периода составила 50,54 Гкал. /час.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ab/>
        <w:t>Протяженность тепловых и паровых сетей в двухтрубном исчислении всех форм собственности, на конец периода составила 27,87 км.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Протяженность тепловых и паровых сетей в двухтрубном исчислении всех форм собственности, на конец периода, нуждающихся в замене составила 16,99 км.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Одиночная протяженность уличных водопроводных сетей всех форм собственности в 2022 году составила 136,37 км.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Одиночная протяженность уличных водопроводных сетей всех форм собственности, нуждающихся в замене составила 54,27 км.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Отремонтировано водопроводных сетей всех форм собственности 1,53 км.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Одиночная протяженность уличных канализационных сетей всех форм собственности составляет 11,61 км.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Одиночная протяженность уличных канализационных сетей всех форм собственности, нуждающихся в замене 7,43 км. 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Уровень износа коммунальной инфраструктуры в 2022 году составила 71 %.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Расходы на капитальный ремонт объектов систем тепло-, электро-, водоснабжения и водоотведения за счет всех источников финансирования в 2022 году составили 7527,704 тысяч рублей.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Расходы на капитальный ремонт объектов систем тепло-, электро-, водоснабжения и водоотведения за счет средств бюджета субъекта Российской Федерации в 2022 году составили 7452 тысяч рублей.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Расходы на капитальный ремонт объектов систем тепло-, электро-, водоснабжения и водоотведения за счет средств бюджета муниципального образования составили 75,604 тысяч рублей.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Основные показатели реформы в жилищно-коммунальном хозяйстве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Количество организаций жилищно-коммунального комплекса по чистым видам деятельности</w:t>
      </w:r>
      <w:r>
        <w:rPr>
          <w:rFonts w:ascii="Times New Roman CYR" w:hAnsi="Times New Roman CYR" w:cs="Times New Roman CYR"/>
          <w:b/>
          <w:bCs/>
          <w:sz w:val="27"/>
          <w:szCs w:val="27"/>
        </w:rPr>
        <w:tab/>
      </w:r>
      <w:r>
        <w:rPr>
          <w:rFonts w:ascii="Times New Roman CYR" w:hAnsi="Times New Roman CYR" w:cs="Times New Roman CYR"/>
          <w:sz w:val="27"/>
          <w:szCs w:val="27"/>
        </w:rPr>
        <w:t>в 2022 году составило 8 единиц.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Количество многоквартирных домов, собственники помещений которых должны выбрать способ управления многоквартирными домами составляет 46.</w:t>
      </w:r>
    </w:p>
    <w:p w:rsidR="00027D0C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Доля многоквартирных домов, в которых собственники помещений выбрали и реализуют способ управления многоквартирным домом - управление товариществом собственников жилья либо жилищным кооперативом или иным специализированным потребительским кооперативом составляет 0%.</w:t>
      </w:r>
    </w:p>
    <w:p w:rsidR="00027D0C" w:rsidRPr="006B68EA" w:rsidRDefault="00027D0C" w:rsidP="00027D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lastRenderedPageBreak/>
        <w:t>21. Экология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Экологическое состояние района относительно благополучное. Промышленных предприятий, допускающих вредные выбросы и производящих вредные воздействия на окружающую среду в районе не расположено. Промышленные выбросы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г.Красноярска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не оказывают отрицательного воздействия, так как в районе преобладают юго-западные и западные ветры, что подтверждается данными метеостанций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г.Красноярска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с.Шалинское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>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Объем водопотребления из природных источников в 2022 году составил 525,13 тыс. м3, в 2021 году составил 594,27 тыс. м3. В последующие годы объем водопотребления останется на уровне525,13 тыс. м3. </w:t>
      </w:r>
    </w:p>
    <w:p w:rsidR="00027D0C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водопотребления (забрано воды) из подземных источников в 2022 году составил 435,59 тыс. м3, в 2021 году составил 466,34   тыс. м3. </w:t>
      </w:r>
    </w:p>
    <w:p w:rsidR="00027D0C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использования воды, забранной из природных источников, используемой на хозяйственно-питьевые нужды в 2022 году составил 313,73 тыс. м3. В 2021 году составил 340,72 тыс. м3 </w:t>
      </w:r>
      <w:proofErr w:type="gramStart"/>
      <w:r>
        <w:rPr>
          <w:rFonts w:ascii="Times New Roman CYR" w:hAnsi="Times New Roman CYR" w:cs="Times New Roman CYR"/>
          <w:sz w:val="27"/>
          <w:szCs w:val="27"/>
        </w:rPr>
        <w:t>В</w:t>
      </w:r>
      <w:proofErr w:type="gramEnd"/>
      <w:r>
        <w:rPr>
          <w:rFonts w:ascii="Times New Roman CYR" w:hAnsi="Times New Roman CYR" w:cs="Times New Roman CYR"/>
          <w:sz w:val="27"/>
          <w:szCs w:val="27"/>
        </w:rPr>
        <w:t xml:space="preserve"> последующие годы объем останется на уровне 313,73 тыс. м3.</w:t>
      </w:r>
    </w:p>
    <w:p w:rsidR="00027D0C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Объем оборотного и повторно-последовательного использования воды в 2022 году составил 336,0 тыс. м3. В 2021 году составлял 1196,1 тыс. м3. 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Объем сброса загрязненных сточных вод (без очистки и недостаточно очищенных) в водные объекты, на рельеф, в подземные горизонты в 2021 году составил 136,47 тыс. м3, в 2022 году составил 132,70 тыс. м3. В последующие годы объем сброса останется на уровне 132,70 тыс. м3.</w:t>
      </w:r>
    </w:p>
    <w:p w:rsidR="00027D0C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Суммарная мощность очистных сооружений, используемых для очистки сточных вод в 2022 году составила 0 тыс. м3 в год. </w:t>
      </w:r>
    </w:p>
    <w:p w:rsidR="00027D0C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Количество очистных сооружений, оснащенных средствами учета и контроля качества сбрасываемых сточных вод нет.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Объем загрязняющих веществ, отходящих от стационарных источников загрязнения атмосферного воздуха, уловленных и обезвреженных в 2022 году составил 168,46 тонн, в 2021 году 168,46 тонн.</w:t>
      </w:r>
    </w:p>
    <w:p w:rsidR="00027D0C" w:rsidRDefault="00027D0C" w:rsidP="00027D0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Удельный вес уловленных и обезвреженных вредных веществ в общем объеме загрязняющих веществ, отходящих от стационарных источников загрязнения атмосферного воздуха в 2022 году по отношению к 2021 году составил 23,09%.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Выброшено в атмосферный воздух загрязняющих веществ от стационарных источников загрязнения атмосферного воздуха в 2022 году составил 561,00 тонн, что на 120 тонн больше по сравнению с 2021 годом.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Темп роста объема выбросов в атмосферу загрязняющих веществ стационарными источниками загрязнения, к соответствующему периоду предыдущего года составил 127,21%.</w:t>
      </w:r>
    </w:p>
    <w:p w:rsidR="00027D0C" w:rsidRDefault="00027D0C" w:rsidP="00027D0C">
      <w:pPr>
        <w:autoSpaceDE w:val="0"/>
        <w:autoSpaceDN w:val="0"/>
        <w:adjustRightInd w:val="0"/>
        <w:spacing w:line="252" w:lineRule="auto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    Объем выбросов в атмосферный воздух загрязняющих веществ от передвижных источников в 2022 году составил 2514 тонн. В 2021 году данный показатель был на уровне 2510 тонн. Объем выбросов увеличился, в связи с увеличением числа приобретенных личных автомобилей. На территории Манского района расположено 45 населенных пунктов. </w:t>
      </w:r>
    </w:p>
    <w:p w:rsidR="00027D0C" w:rsidRDefault="00027D0C" w:rsidP="00027D0C">
      <w:pPr>
        <w:tabs>
          <w:tab w:val="left" w:pos="709"/>
        </w:tabs>
        <w:autoSpaceDE w:val="0"/>
        <w:autoSpaceDN w:val="0"/>
        <w:adjustRightInd w:val="0"/>
        <w:spacing w:line="252" w:lineRule="auto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lastRenderedPageBreak/>
        <w:tab/>
        <w:t xml:space="preserve">Количество полигонов размещения отходов, выполненных и эксплуатирующийся в соответствии с экологическими, строительными и санитарными нормами и правилами, согласно проектам, прошедшим государственную экспертизу 1. Площадь полигонов размещения твердых бытовых отходов, выполненных и эксплуатирующийся в соответствии с экологическими, строительными и санитарными нормами и правилами, согласно проектам, прошедшим государственную экспертизу, составляет 0,0036 тыс. га.  Мощность полигона размещения отходов, выполненных и эксплуатирующийся в соответствии с экологическими, строительными и санитарными нормами и правилами, согласно проектам, прошедшим государственную экспертизу, составляет 27640 тонн. 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22. Реализация на территории муниципального образования федеральных и краевых целевых программ</w:t>
      </w:r>
    </w:p>
    <w:p w:rsidR="00027D0C" w:rsidRPr="00AF343D" w:rsidRDefault="00027D0C" w:rsidP="00027D0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Default="00027D0C" w:rsidP="00027D0C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Администрация Манского района   проводила и проводит работу с отраслевыми министерствами Красноярского края по привлечению средств из краевого бюджета на финансирование инвестиционных и целевых программ.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Так в 2022 году на территории МО осуществлялась реализация 14 краевых государственных программ, на финансирование которых было </w:t>
      </w:r>
      <w:r>
        <w:rPr>
          <w:rFonts w:ascii="Times New Roman CYR" w:hAnsi="Times New Roman CYR" w:cs="Times New Roman CYR"/>
          <w:sz w:val="27"/>
          <w:szCs w:val="27"/>
          <w:highlight w:val="white"/>
        </w:rPr>
        <w:t xml:space="preserve">направлено </w:t>
      </w:r>
      <w:r>
        <w:rPr>
          <w:rFonts w:ascii="Times New Roman CYR" w:hAnsi="Times New Roman CYR" w:cs="Times New Roman CYR"/>
          <w:b/>
          <w:bCs/>
          <w:sz w:val="27"/>
          <w:szCs w:val="27"/>
        </w:rPr>
        <w:t xml:space="preserve">919652,54 </w:t>
      </w:r>
      <w:r>
        <w:rPr>
          <w:rFonts w:ascii="Times New Roman CYR" w:hAnsi="Times New Roman CYR" w:cs="Times New Roman CYR"/>
          <w:sz w:val="27"/>
          <w:szCs w:val="27"/>
        </w:rPr>
        <w:t xml:space="preserve">тысяч рублей, в 2021 году </w:t>
      </w:r>
      <w:r>
        <w:rPr>
          <w:rFonts w:ascii="Times New Roman CYR" w:hAnsi="Times New Roman CYR" w:cs="Times New Roman CYR"/>
          <w:sz w:val="27"/>
          <w:szCs w:val="27"/>
          <w:highlight w:val="white"/>
        </w:rPr>
        <w:t xml:space="preserve">  </w:t>
      </w:r>
      <w:r>
        <w:rPr>
          <w:rFonts w:ascii="Times New Roman CYR" w:hAnsi="Times New Roman CYR" w:cs="Times New Roman CYR"/>
          <w:b/>
          <w:bCs/>
          <w:sz w:val="27"/>
          <w:szCs w:val="27"/>
        </w:rPr>
        <w:t xml:space="preserve">726288,22 </w:t>
      </w:r>
      <w:r>
        <w:rPr>
          <w:rFonts w:ascii="Times New Roman CYR" w:hAnsi="Times New Roman CYR" w:cs="Times New Roman CYR"/>
          <w:sz w:val="27"/>
          <w:szCs w:val="27"/>
          <w:highlight w:val="white"/>
        </w:rPr>
        <w:t xml:space="preserve">  </w:t>
      </w:r>
      <w:r>
        <w:rPr>
          <w:rFonts w:ascii="Times New Roman CYR" w:hAnsi="Times New Roman CYR" w:cs="Times New Roman CYR"/>
          <w:b/>
          <w:bCs/>
          <w:sz w:val="27"/>
          <w:szCs w:val="27"/>
        </w:rPr>
        <w:t xml:space="preserve"> </w:t>
      </w:r>
      <w:r>
        <w:rPr>
          <w:rFonts w:ascii="Times New Roman CYR" w:hAnsi="Times New Roman CYR" w:cs="Times New Roman CYR"/>
          <w:sz w:val="27"/>
          <w:szCs w:val="27"/>
        </w:rPr>
        <w:t xml:space="preserve">тысяч рублей, большая часть из которых была направлена на инвестирование реконструкции, капитальные ремонты объектов социальной сферы и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жилищно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– коммунального хозяйства. </w:t>
      </w:r>
    </w:p>
    <w:p w:rsidR="00027D0C" w:rsidRDefault="00027D0C" w:rsidP="00027D0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755"/>
        <w:gridCol w:w="1984"/>
        <w:gridCol w:w="1617"/>
      </w:tblGrid>
      <w:tr w:rsidR="00027D0C" w:rsidRPr="006B68EA" w:rsidTr="00D42A3A">
        <w:trPr>
          <w:trHeight w:val="841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Наименование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 xml:space="preserve">Поступление, </w:t>
            </w:r>
          </w:p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тыс. руб.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Освоено,</w:t>
            </w:r>
          </w:p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тыс. руб.</w:t>
            </w:r>
          </w:p>
        </w:tc>
      </w:tr>
      <w:tr w:rsidR="00027D0C" w:rsidRPr="006B68EA" w:rsidTr="00D42A3A">
        <w:trPr>
          <w:trHeight w:val="851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 «Развитие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505701,9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499850,2</w:t>
            </w:r>
          </w:p>
        </w:tc>
      </w:tr>
      <w:tr w:rsidR="00027D0C" w:rsidRPr="006B68EA" w:rsidTr="00D42A3A">
        <w:trPr>
          <w:trHeight w:val="835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 «Развитие культуры и туризма»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109369,05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109118,03</w:t>
            </w:r>
          </w:p>
        </w:tc>
      </w:tr>
      <w:tr w:rsidR="00027D0C" w:rsidRPr="006B68EA" w:rsidTr="00D42A3A">
        <w:trPr>
          <w:trHeight w:val="988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 «Молодежь Красноярского края в XXI веке»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6847,09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6847,09</w:t>
            </w:r>
          </w:p>
        </w:tc>
      </w:tr>
      <w:tr w:rsidR="00027D0C" w:rsidRPr="006B68EA" w:rsidTr="00D42A3A">
        <w:trPr>
          <w:trHeight w:val="1258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 «Развитие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22643,35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22540,78</w:t>
            </w:r>
          </w:p>
        </w:tc>
      </w:tr>
      <w:tr w:rsidR="00027D0C" w:rsidRPr="006B68EA" w:rsidTr="00D42A3A">
        <w:trPr>
          <w:trHeight w:val="1403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5197,79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5173,43</w:t>
            </w:r>
          </w:p>
        </w:tc>
      </w:tr>
      <w:tr w:rsidR="00027D0C" w:rsidRPr="006B68EA" w:rsidTr="00D42A3A">
        <w:trPr>
          <w:trHeight w:val="843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lastRenderedPageBreak/>
              <w:t>Государственная программа Красноярского края «Управление муниципальными финансами»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highlight w:val="yellow"/>
              </w:rPr>
            </w:pPr>
            <w:r w:rsidRPr="006B68EA">
              <w:rPr>
                <w:rFonts w:ascii="Times New Roman CYR" w:hAnsi="Times New Roman CYR" w:cs="Times New Roman CYR"/>
              </w:rPr>
              <w:t>139478,49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highlight w:val="yellow"/>
              </w:rPr>
            </w:pPr>
            <w:r w:rsidRPr="006B68EA">
              <w:rPr>
                <w:rFonts w:ascii="Times New Roman CYR" w:hAnsi="Times New Roman CYR" w:cs="Times New Roman CYR"/>
              </w:rPr>
              <w:t>139478,49</w:t>
            </w:r>
          </w:p>
        </w:tc>
      </w:tr>
      <w:tr w:rsidR="00027D0C" w:rsidRPr="006B68EA" w:rsidTr="00D42A3A">
        <w:trPr>
          <w:trHeight w:val="945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53739,33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57739,33</w:t>
            </w:r>
          </w:p>
        </w:tc>
      </w:tr>
      <w:tr w:rsidR="00027D0C" w:rsidRPr="006B68EA" w:rsidTr="00D42A3A">
        <w:trPr>
          <w:trHeight w:val="1032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 «Развитие транспортной системы»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62598,09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62180,59</w:t>
            </w:r>
          </w:p>
        </w:tc>
      </w:tr>
      <w:tr w:rsidR="00027D0C" w:rsidRPr="006B68EA" w:rsidTr="00D42A3A">
        <w:trPr>
          <w:trHeight w:val="1260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«Управление муниципальным имуществом муниципального образования Манского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4996,3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4996,3</w:t>
            </w:r>
          </w:p>
        </w:tc>
      </w:tr>
      <w:tr w:rsidR="00027D0C" w:rsidRPr="006B68EA" w:rsidTr="00D42A3A">
        <w:trPr>
          <w:trHeight w:val="1260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 «Развитие инвестиционной деятельности,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1133,37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1133,37</w:t>
            </w:r>
          </w:p>
        </w:tc>
      </w:tr>
      <w:tr w:rsidR="00027D0C" w:rsidRPr="006B68EA" w:rsidTr="00D42A3A">
        <w:trPr>
          <w:trHeight w:val="831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«О территориальном планировании, градостроительном зонировании и документации по планировке территории Манского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1500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1500</w:t>
            </w:r>
          </w:p>
        </w:tc>
      </w:tr>
      <w:tr w:rsidR="00027D0C" w:rsidRPr="006B68EA" w:rsidTr="00D42A3A">
        <w:trPr>
          <w:trHeight w:val="831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</w:t>
            </w:r>
          </w:p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«Охрана окружающей среды»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1258,98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1258,98</w:t>
            </w:r>
          </w:p>
        </w:tc>
      </w:tr>
      <w:tr w:rsidR="00027D0C" w:rsidRPr="006B68EA" w:rsidTr="00D42A3A">
        <w:trPr>
          <w:trHeight w:val="1267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Государственная программа Красноярского края «Развитие агропромышленного комплекса»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6204,25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6204,25</w:t>
            </w:r>
          </w:p>
        </w:tc>
      </w:tr>
      <w:tr w:rsidR="00027D0C" w:rsidRPr="006B68EA" w:rsidTr="00D42A3A">
        <w:trPr>
          <w:trHeight w:val="945"/>
        </w:trPr>
        <w:tc>
          <w:tcPr>
            <w:tcW w:w="5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"Создание условий для развития услуг связи в малочисленных и труднодоступных населенных пунктах Манского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5631,7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5631,7</w:t>
            </w:r>
          </w:p>
        </w:tc>
      </w:tr>
      <w:tr w:rsidR="00027D0C" w:rsidRPr="006B68EA" w:rsidTr="00D42A3A">
        <w:trPr>
          <w:trHeight w:val="945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926299,69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D0C" w:rsidRPr="006B68EA" w:rsidRDefault="00027D0C" w:rsidP="00D42A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B68EA">
              <w:rPr>
                <w:rFonts w:ascii="Times New Roman CYR" w:hAnsi="Times New Roman CYR" w:cs="Times New Roman CYR"/>
              </w:rPr>
              <w:t>919652,54</w:t>
            </w:r>
          </w:p>
        </w:tc>
      </w:tr>
    </w:tbl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23. Проблемы при формировании мониторинга социально-экономического развития муниципального образования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7D0C" w:rsidRPr="00DA11DF" w:rsidRDefault="00027D0C" w:rsidP="00027D0C">
      <w:pPr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AF343D">
        <w:rPr>
          <w:color w:val="000000"/>
          <w:sz w:val="27"/>
          <w:szCs w:val="27"/>
        </w:rPr>
        <w:t>В связи с нахождением в отпусках отдельных специалистов министерств, согласование</w:t>
      </w:r>
      <w:r w:rsidRPr="00AF343D">
        <w:rPr>
          <w:sz w:val="27"/>
          <w:szCs w:val="27"/>
        </w:rPr>
        <w:t xml:space="preserve"> мониторинга социально-экономического развития муниципального образования шло недостаточно оперативно.</w:t>
      </w:r>
      <w:r w:rsidRPr="00AF343D">
        <w:rPr>
          <w:color w:val="000000"/>
          <w:sz w:val="27"/>
          <w:szCs w:val="27"/>
        </w:rPr>
        <w:t xml:space="preserve">  </w:t>
      </w:r>
    </w:p>
    <w:p w:rsidR="00027D0C" w:rsidRPr="00AF343D" w:rsidRDefault="00027D0C" w:rsidP="00027D0C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  <w:r w:rsidRPr="00AF343D">
        <w:rPr>
          <w:b/>
          <w:bCs/>
          <w:color w:val="000000"/>
          <w:sz w:val="27"/>
          <w:szCs w:val="27"/>
        </w:rPr>
        <w:t>24. Другое</w:t>
      </w:r>
    </w:p>
    <w:p w:rsidR="00027D0C" w:rsidRDefault="00027D0C" w:rsidP="00027D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</w:p>
    <w:p w:rsidR="00027D0C" w:rsidRDefault="00027D0C" w:rsidP="00027D0C">
      <w:pPr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экономического </w:t>
      </w:r>
    </w:p>
    <w:p w:rsidR="00027D0C" w:rsidRPr="006B68EA" w:rsidRDefault="00027D0C" w:rsidP="00027D0C">
      <w:pPr>
        <w:rPr>
          <w:sz w:val="27"/>
          <w:szCs w:val="27"/>
        </w:rPr>
      </w:pPr>
      <w:r>
        <w:rPr>
          <w:sz w:val="27"/>
          <w:szCs w:val="27"/>
        </w:rPr>
        <w:t>развития администрации Манского района</w:t>
      </w:r>
      <w:r w:rsidRPr="00637DAD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                             </w:t>
      </w:r>
      <w:r w:rsidRPr="00637DAD">
        <w:rPr>
          <w:sz w:val="27"/>
          <w:szCs w:val="27"/>
          <w:lang w:val="en-US"/>
        </w:rPr>
        <w:t>C</w:t>
      </w:r>
      <w:r w:rsidRPr="00637DAD">
        <w:rPr>
          <w:sz w:val="27"/>
          <w:szCs w:val="27"/>
        </w:rPr>
        <w:t>.Н.</w:t>
      </w:r>
      <w:r>
        <w:rPr>
          <w:sz w:val="27"/>
          <w:szCs w:val="27"/>
        </w:rPr>
        <w:t xml:space="preserve"> </w:t>
      </w:r>
      <w:r w:rsidRPr="00637DAD">
        <w:rPr>
          <w:sz w:val="27"/>
          <w:szCs w:val="27"/>
        </w:rPr>
        <w:t xml:space="preserve">Беспалько                         </w:t>
      </w:r>
      <w:r>
        <w:rPr>
          <w:sz w:val="27"/>
          <w:szCs w:val="27"/>
        </w:rPr>
        <w:t xml:space="preserve"> </w:t>
      </w:r>
    </w:p>
    <w:p w:rsidR="00B9311B" w:rsidRDefault="00027D0C"/>
    <w:sectPr w:rsidR="00B9311B" w:rsidSect="00D030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Microsoft Sans Serif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153"/>
    <w:rsid w:val="00027D0C"/>
    <w:rsid w:val="00035153"/>
    <w:rsid w:val="00196C61"/>
    <w:rsid w:val="0044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8CD9B-6561-4532-8E31-175B1C89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10289</Words>
  <Characters>58652</Characters>
  <Application>Microsoft Office Word</Application>
  <DocSecurity>0</DocSecurity>
  <Lines>488</Lines>
  <Paragraphs>137</Paragraphs>
  <ScaleCrop>false</ScaleCrop>
  <Company/>
  <LinksUpToDate>false</LinksUpToDate>
  <CharactersWithSpaces>68804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fu-shtibina</dc:creator>
  <cp:keywords/>
  <dc:description/>
  <cp:lastModifiedBy>fu-shtibina</cp:lastModifiedBy>
  <cp:revision>2</cp:revision>
  <dcterms:created xsi:type="dcterms:W3CDTF">2023-08-31T04:20:00Z</dcterms:created>
  <dcterms:modified xsi:type="dcterms:W3CDTF">2023-08-31T04:21:00Z</dcterms:modified>
</cp:coreProperties>
</file>