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AA6922" w:rsidP="00AA69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18796B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18796B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712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Default="002D1BF4" w:rsidP="002D1B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EA33E2" w:rsidRDefault="00EA33E2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A33E2" w:rsidRPr="00DA45E5" w:rsidRDefault="00EA33E2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Список изменяющих документов:</w:t>
      </w:r>
    </w:p>
    <w:p w:rsidR="00F727F7" w:rsidRPr="00DA45E5" w:rsidRDefault="00F727F7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(в ред. постановлени</w:t>
      </w:r>
      <w:r w:rsidR="00EA33E2"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23.05.2023 № 343</w:t>
      </w:r>
      <w:r w:rsidR="00EA33E2"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, от 28.12.2023 № 974</w:t>
      </w: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 xml:space="preserve">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  <w:proofErr w:type="gramEnd"/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Манского района от 1</w:t>
      </w:r>
      <w:r w:rsidR="00C34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34B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34BE3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4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4BE3">
        <w:rPr>
          <w:rFonts w:ascii="Times New Roman" w:hAnsi="Times New Roman" w:cs="Times New Roman"/>
          <w:sz w:val="28"/>
          <w:szCs w:val="28"/>
        </w:rPr>
        <w:t>3-2024</w:t>
      </w:r>
      <w:r>
        <w:rPr>
          <w:rFonts w:ascii="Times New Roman" w:hAnsi="Times New Roman" w:cs="Times New Roman"/>
          <w:sz w:val="28"/>
          <w:szCs w:val="28"/>
        </w:rPr>
        <w:t xml:space="preserve">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>силу с 31.12.202</w:t>
      </w:r>
      <w:r w:rsidR="00C34BE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</w:t>
      </w:r>
      <w:r w:rsidR="00C34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F90351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И. п. 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ы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>
        <w:rPr>
          <w:spacing w:val="4"/>
          <w:sz w:val="28"/>
          <w:szCs w:val="28"/>
        </w:rPr>
        <w:t xml:space="preserve">М. Г. </w:t>
      </w:r>
      <w:proofErr w:type="spellStart"/>
      <w:r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6922" w:rsidRDefault="00AA6922" w:rsidP="00AA6922">
      <w:pPr>
        <w:jc w:val="right"/>
        <w:rPr>
          <w:sz w:val="24"/>
          <w:szCs w:val="24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bookmarkStart w:id="0" w:name="_GoBack"/>
      <w:bookmarkEnd w:id="0"/>
      <w:r w:rsidRPr="008B522E">
        <w:rPr>
          <w:sz w:val="28"/>
          <w:szCs w:val="28"/>
        </w:rPr>
        <w:lastRenderedPageBreak/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 </w:t>
      </w:r>
      <w:r w:rsidR="00636370">
        <w:rPr>
          <w:sz w:val="28"/>
          <w:szCs w:val="28"/>
        </w:rPr>
        <w:t xml:space="preserve">28.10.2022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712</w:t>
      </w:r>
      <w:r w:rsidR="007C7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C34BE3">
              <w:rPr>
                <w:sz w:val="28"/>
                <w:szCs w:val="28"/>
              </w:rPr>
              <w:t>30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08</w:t>
            </w:r>
            <w:r w:rsidR="00E45293">
              <w:rPr>
                <w:sz w:val="28"/>
                <w:szCs w:val="28"/>
              </w:rPr>
              <w:t>.202</w:t>
            </w:r>
            <w:r w:rsidR="00C34BE3">
              <w:rPr>
                <w:sz w:val="28"/>
                <w:szCs w:val="28"/>
              </w:rPr>
              <w:t>2</w:t>
            </w:r>
            <w:r w:rsidR="00E45293">
              <w:rPr>
                <w:sz w:val="28"/>
                <w:szCs w:val="28"/>
              </w:rPr>
              <w:t xml:space="preserve"> </w:t>
            </w:r>
            <w:r w:rsidR="00C34BE3">
              <w:rPr>
                <w:sz w:val="28"/>
                <w:szCs w:val="28"/>
              </w:rPr>
              <w:t xml:space="preserve"> </w:t>
            </w:r>
            <w:r w:rsidR="00E45293">
              <w:rPr>
                <w:sz w:val="28"/>
                <w:szCs w:val="28"/>
              </w:rPr>
              <w:t xml:space="preserve"> № </w:t>
            </w:r>
            <w:r w:rsidR="00C34BE3">
              <w:rPr>
                <w:sz w:val="28"/>
                <w:szCs w:val="28"/>
              </w:rPr>
              <w:t>552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EA33E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05C2" w:rsidRPr="008B522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C405C2" w:rsidRPr="008B522E">
              <w:rPr>
                <w:sz w:val="28"/>
                <w:szCs w:val="28"/>
              </w:rPr>
              <w:t xml:space="preserve"> Манского района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EA33E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подпрограмм, </w:t>
            </w:r>
            <w:r w:rsidRPr="007C73AF">
              <w:rPr>
                <w:sz w:val="28"/>
                <w:szCs w:val="28"/>
              </w:rPr>
              <w:lastRenderedPageBreak/>
              <w:t>отдельных мероприятий (при наличии)</w:t>
            </w:r>
          </w:p>
        </w:tc>
        <w:tc>
          <w:tcPr>
            <w:tcW w:w="6368" w:type="dxa"/>
            <w:shd w:val="clear" w:color="auto" w:fill="auto"/>
          </w:tcPr>
          <w:p w:rsidR="00C405C2" w:rsidRPr="007C73AF" w:rsidRDefault="00C405C2" w:rsidP="00F9371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Подпрограмма:</w:t>
            </w:r>
          </w:p>
          <w:p w:rsidR="00C405C2" w:rsidRPr="007C73AF" w:rsidRDefault="00C405C2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F61301" w:rsidRPr="007C73AF" w:rsidRDefault="00F61301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t>Перечень мероприятий подпрограммы:</w:t>
            </w:r>
          </w:p>
          <w:p w:rsidR="008C0D88" w:rsidRPr="007C73AF" w:rsidRDefault="003623B7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lastRenderedPageBreak/>
              <w:t>Мероприятие 1: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Субсидии субъектам малого и среднего предпринимательства </w:t>
            </w:r>
            <w:r w:rsidR="008C0D88" w:rsidRPr="007C73AF">
              <w:rPr>
                <w:sz w:val="28"/>
                <w:szCs w:val="28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F61301" w:rsidRDefault="003623B7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>Мероприятие 2: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Pr="007C73AF">
              <w:rPr>
                <w:spacing w:val="-4"/>
                <w:sz w:val="28"/>
                <w:szCs w:val="28"/>
              </w:rPr>
              <w:t>С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убсидии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="00F61301" w:rsidRPr="007C73AF">
              <w:rPr>
                <w:sz w:val="28"/>
                <w:szCs w:val="28"/>
              </w:rPr>
              <w:t>на возмещение затра</w:t>
            </w:r>
            <w:r w:rsidR="008C0D88" w:rsidRPr="007C73AF">
              <w:rPr>
                <w:sz w:val="28"/>
                <w:szCs w:val="28"/>
              </w:rPr>
              <w:t>т при осуществлении предпринимательской деятельности.</w:t>
            </w:r>
          </w:p>
          <w:p w:rsidR="00C34BE3" w:rsidRPr="007C73AF" w:rsidRDefault="00C34BE3" w:rsidP="009C4201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 на  начало ведения предпринимательской   деятельности.</w:t>
            </w:r>
          </w:p>
        </w:tc>
      </w:tr>
      <w:tr w:rsidR="00C405C2" w:rsidRPr="008B522E" w:rsidTr="00F93717">
        <w:trPr>
          <w:trHeight w:val="1691"/>
        </w:trPr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</w:p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9C420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C4201">
              <w:rPr>
                <w:sz w:val="28"/>
                <w:szCs w:val="28"/>
              </w:rPr>
              <w:t>3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</w:t>
            </w:r>
            <w:r w:rsidR="009C4201">
              <w:rPr>
                <w:sz w:val="28"/>
                <w:szCs w:val="28"/>
              </w:rPr>
              <w:t>5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Общий объем бюджетных ассигнований  на реализацию муниципальной программы  в 2023-2025 годах  за счет всех источников финансирования  составит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5,474</w:t>
            </w:r>
            <w:r w:rsidRPr="00C12A0C">
              <w:rPr>
                <w:sz w:val="28"/>
                <w:szCs w:val="28"/>
              </w:rPr>
              <w:t xml:space="preserve">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1 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5,158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3 463,20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lastRenderedPageBreak/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12A0C">
              <w:rPr>
                <w:sz w:val="28"/>
                <w:szCs w:val="28"/>
              </w:rPr>
              <w:t>,274 тыс. руб.: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из них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общий объем бюджетных ассигнований  на реализацию подпрограммы  в 2023-2025 годах  за счет всех источников финансирования составит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 xml:space="preserve">,474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 xml:space="preserve">1 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</w:t>
            </w:r>
            <w:r w:rsidRPr="00C12A0C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12A0C">
              <w:rPr>
                <w:sz w:val="28"/>
                <w:szCs w:val="28"/>
              </w:rPr>
              <w:t>,274 тыс. руб.: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 w:rsidRPr="00C12A0C">
              <w:rPr>
                <w:sz w:val="28"/>
                <w:szCs w:val="28"/>
              </w:rPr>
              <w:t>0,758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7A2307" w:rsidRPr="007C73AF" w:rsidRDefault="00F727F7" w:rsidP="00F727F7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</w:t>
            </w: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Развитие малого и среднего предп</w:t>
      </w:r>
      <w:r>
        <w:rPr>
          <w:sz w:val="28"/>
          <w:szCs w:val="28"/>
        </w:rPr>
        <w:t>ринимательства в Манском районе</w:t>
      </w:r>
      <w:r w:rsidRPr="008B522E">
        <w:rPr>
          <w:sz w:val="28"/>
          <w:szCs w:val="28"/>
        </w:rPr>
        <w:t xml:space="preserve"> в последние годы приобретает все большее социальное и экономическое значение, способствуя повышению благосостояния </w:t>
      </w:r>
      <w:r w:rsidR="00B427F6">
        <w:rPr>
          <w:sz w:val="28"/>
          <w:szCs w:val="28"/>
        </w:rPr>
        <w:t>населения</w:t>
      </w:r>
      <w:r w:rsidRPr="008B522E">
        <w:rPr>
          <w:sz w:val="28"/>
          <w:szCs w:val="28"/>
        </w:rPr>
        <w:t>, созданию рабочих мест, увеличению доходной части местного бюджета.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C405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основных показателей развития малого и среднего предпринимательства за 2020 - 2021 годы позволяет определить структуру, уровень и  тенденции развития предпринимательства в Манском районе.</w:t>
      </w:r>
    </w:p>
    <w:p w:rsidR="000C53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развития предпринимательства приведены в таблице.</w:t>
      </w:r>
    </w:p>
    <w:p w:rsidR="000C53C2" w:rsidRPr="0087212F" w:rsidRDefault="000C53C2" w:rsidP="000C53C2">
      <w:pPr>
        <w:ind w:firstLine="709"/>
        <w:jc w:val="right"/>
        <w:rPr>
          <w:color w:val="000000"/>
          <w:sz w:val="26"/>
          <w:szCs w:val="26"/>
        </w:rPr>
      </w:pPr>
      <w:r w:rsidRPr="0087212F">
        <w:rPr>
          <w:color w:val="000000"/>
          <w:sz w:val="26"/>
          <w:szCs w:val="26"/>
        </w:rPr>
        <w:lastRenderedPageBreak/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976"/>
        <w:gridCol w:w="670"/>
        <w:gridCol w:w="1176"/>
        <w:gridCol w:w="1176"/>
      </w:tblGrid>
      <w:tr w:rsidR="001172EA" w:rsidRPr="00E05983" w:rsidTr="001172EA">
        <w:trPr>
          <w:cantSplit/>
          <w:trHeight w:val="454"/>
          <w:tblHeader/>
        </w:trPr>
        <w:tc>
          <w:tcPr>
            <w:tcW w:w="320" w:type="pct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031624" w:rsidRPr="00617F1B" w:rsidRDefault="00031624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Align w:val="center"/>
          </w:tcPr>
          <w:p w:rsidR="00031624" w:rsidRPr="00617F1B" w:rsidRDefault="00031624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 на конец года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101,58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103,37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малых предприятий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90,62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средних предприятий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количество индивидуальных предпринимателей, прошедших государственную регистрацию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105,92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3" w:type="pct"/>
            <w:shd w:val="clear" w:color="auto" w:fill="auto"/>
          </w:tcPr>
          <w:p w:rsidR="00031624" w:rsidRPr="00617F1B" w:rsidRDefault="00031624" w:rsidP="00031624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Количество физических лиц, применяющих  специальный налоговый режим «Налог на профессиональный доход»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391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617F1B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</w:tcPr>
          <w:p w:rsidR="00031624" w:rsidRPr="00617F1B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617F1B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617F1B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7F1B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17F1B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617F1B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Среднесписочная численность работников субъектов малого и среднего предпринимательства – всего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малых предприятий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573" w:type="pct"/>
          </w:tcPr>
          <w:p w:rsidR="00031624" w:rsidRPr="00617F1B" w:rsidRDefault="00031624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средних предприятий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индивидуальных предпринимателей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573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48,02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031624" w:rsidP="0025627F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малого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  <w:r w:rsidR="001172EA">
              <w:rPr>
                <w:bCs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="001172EA"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="001172E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(юридических лиц)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1 603,871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1 444,623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90.07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031624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среднего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11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122,589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136,956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150,87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Объем инвестиций в основной капитал организаций  малого 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49,540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51,990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104,95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1172EA" w:rsidP="001172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 инвестиций в основной капитал организаций  среднего  предпринимательства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17,330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24,459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1172EA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1172EA" w:rsidRPr="00E05983" w:rsidRDefault="001172EA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172EA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1172EA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242,17</w:t>
            </w:r>
          </w:p>
        </w:tc>
        <w:tc>
          <w:tcPr>
            <w:tcW w:w="573" w:type="pct"/>
          </w:tcPr>
          <w:p w:rsidR="001172EA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141,14</w:t>
            </w:r>
          </w:p>
        </w:tc>
      </w:tr>
    </w:tbl>
    <w:p w:rsidR="000C53C2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увеличилось количество субъектов малого и среднего предпринимательства на 3,37 %  с 386 единиц  на 01.01.2021 года до 399 единиц  на 01.01.2022 года. </w:t>
      </w:r>
      <w:proofErr w:type="gramStart"/>
      <w:r w:rsidR="007C2F39" w:rsidRPr="007C2F39">
        <w:rPr>
          <w:sz w:val="28"/>
          <w:szCs w:val="28"/>
        </w:rPr>
        <w:t xml:space="preserve">Из них количество малых и </w:t>
      </w:r>
      <w:proofErr w:type="spellStart"/>
      <w:r w:rsidR="007C2F39" w:rsidRPr="007C2F39">
        <w:rPr>
          <w:sz w:val="28"/>
          <w:szCs w:val="28"/>
        </w:rPr>
        <w:t>микропредприятий</w:t>
      </w:r>
      <w:proofErr w:type="spellEnd"/>
      <w:r w:rsidR="007C2F39" w:rsidRPr="007C2F39">
        <w:rPr>
          <w:sz w:val="28"/>
          <w:szCs w:val="28"/>
        </w:rPr>
        <w:t xml:space="preserve"> (юридических лиц)   уменьшилось на  6  единиц (с 64 до 58) или на 9.37 %,  количество индивидуальных предпринимателей  увеличилось на 19 единиц (с 321 до 340) или  на 5,92 %.  Количество средних предприятий осталось неизменным (1 единица).</w:t>
      </w:r>
      <w:proofErr w:type="gramEnd"/>
    </w:p>
    <w:p w:rsidR="007C2F39" w:rsidRDefault="007C2F39" w:rsidP="00197430">
      <w:pPr>
        <w:pStyle w:val="Default"/>
        <w:ind w:right="-2"/>
        <w:jc w:val="both"/>
        <w:rPr>
          <w:sz w:val="28"/>
          <w:szCs w:val="28"/>
        </w:rPr>
      </w:pPr>
      <w:r w:rsidRPr="007C2F39">
        <w:rPr>
          <w:sz w:val="28"/>
          <w:szCs w:val="28"/>
        </w:rPr>
        <w:t xml:space="preserve">          По состоянию </w:t>
      </w:r>
      <w:proofErr w:type="gramStart"/>
      <w:r w:rsidRPr="007C2F39">
        <w:rPr>
          <w:sz w:val="28"/>
          <w:szCs w:val="28"/>
        </w:rPr>
        <w:t>на конец</w:t>
      </w:r>
      <w:proofErr w:type="gramEnd"/>
      <w:r w:rsidRPr="007C2F39">
        <w:rPr>
          <w:sz w:val="28"/>
          <w:szCs w:val="28"/>
        </w:rPr>
        <w:t xml:space="preserve"> 2021 года по числу субъектов </w:t>
      </w:r>
      <w:r w:rsidR="00D0127D">
        <w:rPr>
          <w:sz w:val="28"/>
          <w:szCs w:val="28"/>
        </w:rPr>
        <w:t>малого и среднего предпринимательства</w:t>
      </w:r>
      <w:r w:rsidRPr="007C2F39">
        <w:rPr>
          <w:sz w:val="28"/>
          <w:szCs w:val="28"/>
        </w:rPr>
        <w:t xml:space="preserve"> отраслевая структура </w:t>
      </w:r>
      <w:r w:rsidR="00A93C58">
        <w:rPr>
          <w:sz w:val="28"/>
          <w:szCs w:val="28"/>
        </w:rPr>
        <w:t xml:space="preserve">экономики Манского района </w:t>
      </w:r>
      <w:r w:rsidR="00DA1B40">
        <w:rPr>
          <w:sz w:val="28"/>
          <w:szCs w:val="28"/>
        </w:rPr>
        <w:t xml:space="preserve"> </w:t>
      </w:r>
      <w:r w:rsidRPr="007C2F39">
        <w:rPr>
          <w:sz w:val="28"/>
          <w:szCs w:val="28"/>
        </w:rPr>
        <w:t xml:space="preserve">выглядит следующим образом: </w:t>
      </w:r>
    </w:p>
    <w:p w:rsidR="006A2D56" w:rsidRDefault="006A2D56" w:rsidP="00197430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6A2D56" w:rsidTr="006A2D56">
        <w:trPr>
          <w:trHeight w:val="133"/>
        </w:trPr>
        <w:tc>
          <w:tcPr>
            <w:tcW w:w="683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 xml:space="preserve">Наименование </w:t>
            </w:r>
            <w:r w:rsidR="00A93C58">
              <w:t xml:space="preserve">показателей </w:t>
            </w:r>
            <w:r>
              <w:t>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6A2D56" w:rsidRDefault="006A2D56" w:rsidP="006A2D56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35,6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16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126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16,8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10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57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Транспортная отрасль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13,0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7,0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9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19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6,5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3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23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4,5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13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Default="006A2D56" w:rsidP="006A2D56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6A2D56" w:rsidRPr="00C53683" w:rsidRDefault="006A2D56" w:rsidP="006A2D56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 w:rsidR="00C53683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16,6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54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59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340</w:t>
            </w:r>
          </w:p>
        </w:tc>
      </w:tr>
    </w:tbl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  <w:r w:rsidRPr="00C53683">
        <w:rPr>
          <w:rFonts w:eastAsiaTheme="minorHAnsi"/>
          <w:color w:val="000000"/>
          <w:sz w:val="24"/>
          <w:szCs w:val="24"/>
          <w:lang w:eastAsia="en-US"/>
        </w:rPr>
        <w:t>*</w:t>
      </w:r>
      <w:r w:rsidRPr="00C53683">
        <w:rPr>
          <w:sz w:val="24"/>
          <w:szCs w:val="24"/>
        </w:rPr>
        <w:t xml:space="preserve"> 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C53683">
        <w:rPr>
          <w:sz w:val="24"/>
          <w:szCs w:val="24"/>
          <w:lang w:val="en-US"/>
        </w:rPr>
        <w:t>B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D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E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I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J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K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L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M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N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R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S</w:t>
      </w:r>
      <w:r w:rsidRPr="00C53683">
        <w:rPr>
          <w:sz w:val="24"/>
          <w:szCs w:val="24"/>
        </w:rPr>
        <w:t>.</w:t>
      </w:r>
    </w:p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</w:p>
    <w:p w:rsidR="00C53683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047">
        <w:rPr>
          <w:sz w:val="28"/>
          <w:szCs w:val="28"/>
        </w:rPr>
        <w:t>Наибольшее число  задействованных субъектов малого и среднего предпринимательства наблюдается в таких отраслях экономики, как торговля и сельское хозяйство.</w:t>
      </w:r>
    </w:p>
    <w:p w:rsidR="007C2F39" w:rsidRPr="007C2F39" w:rsidRDefault="00C53683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Кроме того, по состоянию на 01.01.2022 года в Манском районе зарегистрировано 391 физических лиц, применяющих специальный налоговый режим «Налог на профессиональный доход». </w:t>
      </w: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>Среднесписочная численность работников организаций малого бизнеса в 2021 году составила 772 человека. Основное количество работающих в организациях малого бизнеса - это  сельское и лесное хозяйство (раздел</w:t>
      </w:r>
      <w:proofErr w:type="gramStart"/>
      <w:r w:rsidR="007C2F39" w:rsidRPr="007C2F39">
        <w:rPr>
          <w:sz w:val="28"/>
          <w:szCs w:val="28"/>
        </w:rPr>
        <w:t xml:space="preserve"> А</w:t>
      </w:r>
      <w:proofErr w:type="gramEnd"/>
      <w:r w:rsidR="007C2F39" w:rsidRPr="007C2F39">
        <w:rPr>
          <w:sz w:val="28"/>
          <w:szCs w:val="28"/>
        </w:rPr>
        <w:t xml:space="preserve"> по ОКВЭД 2), обрабатывающие производства (раздел С), их доля составляет </w:t>
      </w:r>
      <w:r w:rsidR="007C2F39" w:rsidRPr="007C2F39">
        <w:rPr>
          <w:sz w:val="28"/>
          <w:szCs w:val="28"/>
        </w:rPr>
        <w:lastRenderedPageBreak/>
        <w:t>более 67 % от общей численности, занятых в предприятиях малого бизнеса.</w:t>
      </w: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F39" w:rsidRPr="007C2F39">
        <w:rPr>
          <w:sz w:val="28"/>
          <w:szCs w:val="28"/>
        </w:rPr>
        <w:t>Среднесписочная численность работников у индивидуальных предпринимателей в 2021 году составила 573 человека.</w:t>
      </w:r>
    </w:p>
    <w:p w:rsidR="007C2F39" w:rsidRDefault="00197430" w:rsidP="00197430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F39" w:rsidRPr="007C2F39">
        <w:rPr>
          <w:sz w:val="28"/>
          <w:szCs w:val="28"/>
        </w:rPr>
        <w:t>Оборот организаций малого бизнеса в 2021 году составил 1 444 623 тыс. рублей, что меньше уровня 2020 года (1 603 871 тыс. руб.) на 159 248 тыс. рублей или на 9,93 %</w:t>
      </w:r>
      <w:r w:rsidR="00AB5C43">
        <w:rPr>
          <w:sz w:val="28"/>
          <w:szCs w:val="28"/>
        </w:rPr>
        <w:t>, в том числе по отраслям:</w:t>
      </w:r>
    </w:p>
    <w:p w:rsidR="007C2F39" w:rsidRPr="007C2F39" w:rsidRDefault="007C2F39" w:rsidP="007C2F39">
      <w:pPr>
        <w:ind w:firstLine="708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1596"/>
        <w:gridCol w:w="1596"/>
        <w:gridCol w:w="1455"/>
        <w:gridCol w:w="1007"/>
      </w:tblGrid>
      <w:tr w:rsidR="000C53C2" w:rsidRPr="00086F35" w:rsidTr="00B13309">
        <w:trPr>
          <w:trHeight w:val="454"/>
          <w:tblHeader/>
        </w:trPr>
        <w:tc>
          <w:tcPr>
            <w:tcW w:w="2046" w:type="pct"/>
            <w:shd w:val="clear" w:color="auto" w:fill="auto"/>
          </w:tcPr>
          <w:p w:rsidR="000C53C2" w:rsidRDefault="00C41DC6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AB5C43" w:rsidRPr="00086F35" w:rsidRDefault="00AB5C43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ОКВЭД 2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20</w:t>
            </w:r>
            <w:r w:rsidR="00C41DC6">
              <w:rPr>
                <w:color w:val="000000"/>
                <w:sz w:val="24"/>
                <w:szCs w:val="24"/>
              </w:rPr>
              <w:t>20</w:t>
            </w:r>
            <w:r w:rsidRPr="00086F35">
              <w:rPr>
                <w:color w:val="000000"/>
                <w:sz w:val="24"/>
                <w:szCs w:val="24"/>
              </w:rPr>
              <w:t xml:space="preserve"> год</w:t>
            </w:r>
          </w:p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202</w:t>
            </w:r>
            <w:r w:rsidR="00C41DC6">
              <w:rPr>
                <w:color w:val="000000"/>
                <w:sz w:val="24"/>
                <w:szCs w:val="24"/>
              </w:rPr>
              <w:t>1</w:t>
            </w:r>
            <w:r w:rsidRPr="00086F35">
              <w:rPr>
                <w:color w:val="000000"/>
                <w:sz w:val="24"/>
                <w:szCs w:val="24"/>
              </w:rPr>
              <w:t xml:space="preserve"> год</w:t>
            </w:r>
          </w:p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изменение</w:t>
            </w:r>
          </w:p>
          <w:p w:rsidR="000C53C2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  <w:p w:rsidR="008B2BFE" w:rsidRPr="008B2BFE" w:rsidRDefault="008B2BFE" w:rsidP="00B13309">
            <w:pPr>
              <w:jc w:val="center"/>
              <w:rPr>
                <w:color w:val="000000"/>
              </w:rPr>
            </w:pPr>
            <w:r w:rsidRPr="008B2BFE">
              <w:rPr>
                <w:color w:val="000000"/>
              </w:rPr>
              <w:t>+ увеличение</w:t>
            </w:r>
          </w:p>
          <w:p w:rsidR="008B2BFE" w:rsidRPr="00086F35" w:rsidRDefault="008B2BFE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8B2BFE">
              <w:rPr>
                <w:color w:val="000000"/>
              </w:rPr>
              <w:t>- уменьшение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темп роста</w:t>
            </w:r>
          </w:p>
          <w:p w:rsidR="00C41DC6" w:rsidRPr="00086F35" w:rsidRDefault="00C41DC6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(%)</w:t>
            </w:r>
          </w:p>
        </w:tc>
      </w:tr>
      <w:tr w:rsidR="00C41DC6" w:rsidRPr="00086F35" w:rsidTr="00B13309">
        <w:trPr>
          <w:trHeight w:val="454"/>
          <w:tblHeader/>
        </w:trPr>
        <w:tc>
          <w:tcPr>
            <w:tcW w:w="2046" w:type="pct"/>
            <w:shd w:val="clear" w:color="auto" w:fill="auto"/>
          </w:tcPr>
          <w:p w:rsidR="00C41DC6" w:rsidRPr="00086F35" w:rsidRDefault="00AB5C43" w:rsidP="00C41D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41DC6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834" w:type="pct"/>
            <w:shd w:val="clear" w:color="auto" w:fill="auto"/>
            <w:noWrap/>
          </w:tcPr>
          <w:p w:rsidR="00C41DC6" w:rsidRPr="00086F35" w:rsidRDefault="00C41DC6" w:rsidP="00C41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94 077,0</w:t>
            </w:r>
          </w:p>
        </w:tc>
        <w:tc>
          <w:tcPr>
            <w:tcW w:w="834" w:type="pct"/>
            <w:shd w:val="clear" w:color="auto" w:fill="auto"/>
            <w:noWrap/>
          </w:tcPr>
          <w:p w:rsidR="00C41DC6" w:rsidRPr="00086F35" w:rsidRDefault="00C41DC6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100 508,0</w:t>
            </w:r>
          </w:p>
        </w:tc>
        <w:tc>
          <w:tcPr>
            <w:tcW w:w="760" w:type="pct"/>
            <w:shd w:val="clear" w:color="auto" w:fill="auto"/>
            <w:noWrap/>
          </w:tcPr>
          <w:p w:rsidR="00C41DC6" w:rsidRPr="00086F35" w:rsidRDefault="005B7B54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+ 6 431,0</w:t>
            </w:r>
          </w:p>
        </w:tc>
        <w:tc>
          <w:tcPr>
            <w:tcW w:w="526" w:type="pct"/>
            <w:shd w:val="clear" w:color="auto" w:fill="auto"/>
            <w:noWrap/>
          </w:tcPr>
          <w:p w:rsidR="00C41DC6" w:rsidRPr="00086F35" w:rsidRDefault="005B7B54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106,84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128 740,0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229 810,0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+ 101 070,0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178,51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C53C2" w:rsidRPr="00086F35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670 905,0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643 193,0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- 27 712,0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95,87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AB5C43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85 903,0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84 529,0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- 1 374,0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98,40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- 4 260,0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18,08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151 548,0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153 388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+ 1 840,0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101,21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H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451 821,0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203 025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- 248 796,0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44,93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8 369,0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24 894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+ 16 525,0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297,45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L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3 627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+ 3 190,0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829,98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M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- 182,0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79,57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Q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- 5 965,0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8B2BF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B1047" w:rsidRDefault="005B7B54" w:rsidP="005B7B54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7B54" w:rsidRDefault="00BB1047" w:rsidP="005B7B54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B54" w:rsidRPr="007C2F39">
        <w:rPr>
          <w:sz w:val="28"/>
          <w:szCs w:val="28"/>
        </w:rPr>
        <w:t>Оборот организаци</w:t>
      </w:r>
      <w:r w:rsidR="005B7B54">
        <w:rPr>
          <w:sz w:val="28"/>
          <w:szCs w:val="28"/>
        </w:rPr>
        <w:t>и</w:t>
      </w:r>
      <w:r w:rsidR="005B7B54" w:rsidRPr="007C2F39">
        <w:rPr>
          <w:sz w:val="28"/>
          <w:szCs w:val="28"/>
        </w:rPr>
        <w:t xml:space="preserve"> </w:t>
      </w:r>
      <w:r w:rsidR="005B7B54">
        <w:rPr>
          <w:sz w:val="28"/>
          <w:szCs w:val="28"/>
        </w:rPr>
        <w:t>среднего</w:t>
      </w:r>
      <w:r w:rsidR="005B7B54" w:rsidRPr="007C2F39">
        <w:rPr>
          <w:sz w:val="28"/>
          <w:szCs w:val="28"/>
        </w:rPr>
        <w:t xml:space="preserve"> бизнеса в 2021 году составил </w:t>
      </w:r>
      <w:r w:rsidR="005B7B54">
        <w:rPr>
          <w:sz w:val="28"/>
          <w:szCs w:val="28"/>
        </w:rPr>
        <w:t>136 956</w:t>
      </w:r>
      <w:r w:rsidR="005B7B54" w:rsidRPr="007C2F39">
        <w:rPr>
          <w:sz w:val="28"/>
          <w:szCs w:val="28"/>
        </w:rPr>
        <w:t xml:space="preserve"> тыс. рублей, что </w:t>
      </w:r>
      <w:r w:rsidR="005B7B54">
        <w:rPr>
          <w:sz w:val="28"/>
          <w:szCs w:val="28"/>
        </w:rPr>
        <w:t xml:space="preserve">на 14 367 тыс. руб. </w:t>
      </w:r>
      <w:r w:rsidR="00624D68">
        <w:rPr>
          <w:sz w:val="28"/>
          <w:szCs w:val="28"/>
        </w:rPr>
        <w:t>больше</w:t>
      </w:r>
      <w:r w:rsidR="005B7B54" w:rsidRPr="007C2F39">
        <w:rPr>
          <w:sz w:val="28"/>
          <w:szCs w:val="28"/>
        </w:rPr>
        <w:t xml:space="preserve"> уровня 2020 года (</w:t>
      </w:r>
      <w:r w:rsidR="00624D68">
        <w:rPr>
          <w:sz w:val="28"/>
          <w:szCs w:val="28"/>
        </w:rPr>
        <w:t>122 589</w:t>
      </w:r>
      <w:r w:rsidR="005B7B54" w:rsidRPr="007C2F39">
        <w:rPr>
          <w:sz w:val="28"/>
          <w:szCs w:val="28"/>
        </w:rPr>
        <w:t xml:space="preserve"> тыс. руб.)  или на </w:t>
      </w:r>
      <w:r w:rsidR="00624D68">
        <w:rPr>
          <w:sz w:val="28"/>
          <w:szCs w:val="28"/>
        </w:rPr>
        <w:t>11,72</w:t>
      </w:r>
      <w:r w:rsidR="005B7B54" w:rsidRPr="007C2F39">
        <w:rPr>
          <w:sz w:val="28"/>
          <w:szCs w:val="28"/>
        </w:rPr>
        <w:t xml:space="preserve"> %</w:t>
      </w:r>
      <w:r w:rsidR="00624D68">
        <w:rPr>
          <w:sz w:val="28"/>
          <w:szCs w:val="28"/>
        </w:rPr>
        <w:t>, в отрасли сельского хозяйства.</w:t>
      </w:r>
    </w:p>
    <w:p w:rsidR="000C53C2" w:rsidRPr="00BB1047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сложность в привлечении финансовых (инвестиционных) ресурсов, </w:t>
      </w:r>
      <w:r w:rsidRPr="008B522E">
        <w:rPr>
          <w:sz w:val="28"/>
          <w:szCs w:val="28"/>
        </w:rPr>
        <w:lastRenderedPageBreak/>
        <w:t>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 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основной задачи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- финансовая поддержка субъектов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A537D7">
        <w:rPr>
          <w:sz w:val="28"/>
          <w:szCs w:val="28"/>
        </w:rPr>
        <w:t>.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При этом основными принципами </w:t>
      </w:r>
      <w:r w:rsidR="00E95EB6">
        <w:rPr>
          <w:sz w:val="28"/>
          <w:szCs w:val="28"/>
        </w:rPr>
        <w:t xml:space="preserve">финансовой </w:t>
      </w:r>
      <w:r w:rsidRPr="008B522E">
        <w:rPr>
          <w:sz w:val="28"/>
          <w:szCs w:val="28"/>
        </w:rPr>
        <w:t>поддержки субъектов малого и среднего предпринимательства являются: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равный доступ субъектов малого и среднего предпринимательства к участию в </w:t>
      </w:r>
      <w:r w:rsidR="00E95EB6">
        <w:rPr>
          <w:sz w:val="28"/>
          <w:szCs w:val="28"/>
        </w:rPr>
        <w:t>п</w:t>
      </w:r>
      <w:r w:rsidRPr="008B522E">
        <w:rPr>
          <w:sz w:val="28"/>
          <w:szCs w:val="28"/>
        </w:rPr>
        <w:t>рограмме;</w:t>
      </w:r>
    </w:p>
    <w:p w:rsidR="00D15B89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>- оказание поддержки с соблюдением требований, установленных Федеральным законом от 26.07.2006  № 135-ФЗ «О защите конкуренции».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D62362">
        <w:rPr>
          <w:sz w:val="28"/>
          <w:szCs w:val="28"/>
        </w:rPr>
        <w:t xml:space="preserve"> – 2025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 </w:t>
      </w:r>
      <w:r w:rsidR="00964BBD">
        <w:rPr>
          <w:bCs/>
          <w:sz w:val="28"/>
          <w:szCs w:val="28"/>
        </w:rPr>
        <w:t>три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0046A3" w:rsidRPr="007C73AF" w:rsidRDefault="000046A3" w:rsidP="000046A3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64BBD">
        <w:rPr>
          <w:spacing w:val="-4"/>
          <w:sz w:val="28"/>
          <w:szCs w:val="28"/>
        </w:rPr>
        <w:t xml:space="preserve">Мероприятие </w:t>
      </w:r>
      <w:r w:rsidR="00473E7B" w:rsidRPr="007C73AF">
        <w:rPr>
          <w:spacing w:val="-4"/>
          <w:sz w:val="28"/>
          <w:szCs w:val="28"/>
        </w:rPr>
        <w:t>1.</w:t>
      </w:r>
      <w:r w:rsidR="00C405C2" w:rsidRPr="007C73AF">
        <w:rPr>
          <w:spacing w:val="-4"/>
          <w:sz w:val="28"/>
          <w:szCs w:val="28"/>
        </w:rPr>
        <w:t xml:space="preserve"> </w:t>
      </w:r>
      <w:r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964BBD" w:rsidRDefault="000046A3" w:rsidP="00964BBD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Субсидии предоставляются в размере </w:t>
      </w:r>
      <w:r w:rsidR="00557E88" w:rsidRPr="007C73AF">
        <w:rPr>
          <w:sz w:val="28"/>
          <w:szCs w:val="28"/>
        </w:rPr>
        <w:t>до  50 процентов произведенных затрат, но не менее 300 тыс. рублей и не более 15,0 млн. рублей одному получателю поддержки.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473E7B" w:rsidRPr="007C73AF">
        <w:rPr>
          <w:spacing w:val="-4"/>
          <w:sz w:val="28"/>
          <w:szCs w:val="28"/>
        </w:rPr>
        <w:t>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>Субсидии предоставляются в размере 50 процентов  произведенных затрат (без учета НДС – для получателей субсидии, применяющих общую систему налогообложения), но не более: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>500 тыс. рублей получателю субсидии, являющемуся субъектом  малого и среднего предпринимательства;</w:t>
      </w:r>
    </w:p>
    <w:p w:rsidR="00557E88" w:rsidRDefault="00964BBD" w:rsidP="00964BBD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 xml:space="preserve">100 тыс. рублей получателю субсидии, являющемуся </w:t>
      </w:r>
      <w:r w:rsidR="00557E88" w:rsidRPr="007C73AF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развития экономики и сельского хозяйства а</w:t>
            </w:r>
            <w:r w:rsidRPr="000A3B1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B00DC4">
              <w:rPr>
                <w:sz w:val="28"/>
                <w:szCs w:val="28"/>
              </w:rPr>
              <w:t xml:space="preserve"> Манского района</w:t>
            </w:r>
            <w:r w:rsidR="00B00DC4" w:rsidRPr="00B00DC4">
              <w:rPr>
                <w:sz w:val="28"/>
                <w:szCs w:val="28"/>
              </w:rPr>
              <w:t>,</w:t>
            </w:r>
            <w:r w:rsidR="00B00DC4">
              <w:rPr>
                <w:sz w:val="28"/>
                <w:szCs w:val="28"/>
              </w:rPr>
              <w:t xml:space="preserve"> 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</w:p>
          <w:p w:rsidR="00C405C2" w:rsidRPr="00B00DC4" w:rsidRDefault="00C405C2" w:rsidP="00F93717">
            <w:pPr>
              <w:widowControl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4329D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432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F432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Объемы и источники </w:t>
            </w:r>
            <w:r w:rsidRPr="007C73AF">
              <w:rPr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lastRenderedPageBreak/>
              <w:t xml:space="preserve">Общий объем бюджетных ассигнований  на </w:t>
            </w:r>
            <w:r w:rsidRPr="00402173">
              <w:rPr>
                <w:sz w:val="28"/>
                <w:szCs w:val="28"/>
              </w:rPr>
              <w:lastRenderedPageBreak/>
              <w:t xml:space="preserve">реализацию подпрограммы  в 2023-2025 годах  за счет всех источников финансирования составит 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402173">
              <w:rPr>
                <w:sz w:val="28"/>
                <w:szCs w:val="28"/>
              </w:rPr>
              <w:t xml:space="preserve">,474  тыс. руб.,   </w:t>
            </w:r>
            <w:r w:rsidRPr="00402173">
              <w:rPr>
                <w:color w:val="FF6600"/>
                <w:sz w:val="28"/>
                <w:szCs w:val="28"/>
              </w:rPr>
              <w:t xml:space="preserve">      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 xml:space="preserve">1 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</w:t>
            </w:r>
            <w:r w:rsidRPr="0040217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 тыс. руб.: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02173">
              <w:rPr>
                <w:sz w:val="28"/>
                <w:szCs w:val="28"/>
              </w:rPr>
              <w:t>,274 тыс. руб.: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 w:rsidRPr="00402173">
              <w:rPr>
                <w:sz w:val="28"/>
                <w:szCs w:val="28"/>
              </w:rPr>
              <w:t>0,758 тыс. руб.;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120</w:t>
            </w:r>
            <w:r w:rsidRPr="00402173">
              <w:rPr>
                <w:sz w:val="28"/>
                <w:szCs w:val="28"/>
              </w:rPr>
              <w:t>,758 тыс. руб.;</w:t>
            </w:r>
          </w:p>
          <w:p w:rsidR="00C405C2" w:rsidRPr="007C73AF" w:rsidRDefault="00382483" w:rsidP="00382483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</w:t>
            </w:r>
            <w:r w:rsidRPr="00402173">
              <w:rPr>
                <w:sz w:val="28"/>
                <w:szCs w:val="28"/>
              </w:rPr>
              <w:t>0,758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 xml:space="preserve">Реализация подпрограммы обусловлена необходимостью решения вышеперечисленных проблем, сдерживающих развитие малого и среднего </w:t>
      </w:r>
      <w:r w:rsidRPr="00B86B48">
        <w:rPr>
          <w:sz w:val="28"/>
          <w:szCs w:val="28"/>
        </w:rPr>
        <w:lastRenderedPageBreak/>
        <w:t>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>
        <w:rPr>
          <w:sz w:val="28"/>
          <w:szCs w:val="28"/>
        </w:rPr>
        <w:t xml:space="preserve">- </w:t>
      </w:r>
      <w:r w:rsidR="00B86B48" w:rsidRPr="00B86B48">
        <w:rPr>
          <w:sz w:val="28"/>
          <w:szCs w:val="28"/>
        </w:rPr>
        <w:t xml:space="preserve">вовлечение граждан, в </w:t>
      </w:r>
      <w:proofErr w:type="spellStart"/>
      <w:r w:rsidR="00B86B48" w:rsidRPr="00B86B48">
        <w:rPr>
          <w:sz w:val="28"/>
          <w:szCs w:val="28"/>
        </w:rPr>
        <w:t>т.ч</w:t>
      </w:r>
      <w:proofErr w:type="spellEnd"/>
      <w:r w:rsidR="00B86B48" w:rsidRPr="00B86B48">
        <w:rPr>
          <w:sz w:val="28"/>
          <w:szCs w:val="28"/>
        </w:rPr>
        <w:t>. молодежи,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8E07F2" w:rsidRPr="00B00DC4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Основная задача подпрограммы – о</w:t>
      </w:r>
      <w:r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>
        <w:rPr>
          <w:sz w:val="28"/>
          <w:szCs w:val="28"/>
        </w:rPr>
        <w:t>.</w:t>
      </w:r>
    </w:p>
    <w:p w:rsidR="008E07F2" w:rsidRDefault="008E07F2" w:rsidP="00B60DE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 – 2025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EA33E2" w:rsidP="00EA33E2">
      <w:pPr>
        <w:widowControl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F7E74">
        <w:rPr>
          <w:bCs/>
          <w:sz w:val="28"/>
          <w:szCs w:val="28"/>
        </w:rPr>
        <w:t xml:space="preserve">Подпрограмма </w:t>
      </w:r>
      <w:r w:rsidR="005F7E74" w:rsidRPr="007C73AF">
        <w:rPr>
          <w:bCs/>
          <w:sz w:val="28"/>
          <w:szCs w:val="28"/>
        </w:rPr>
        <w:t xml:space="preserve"> включает в себя  </w:t>
      </w:r>
      <w:r w:rsidR="005F7E74">
        <w:rPr>
          <w:bCs/>
          <w:sz w:val="28"/>
          <w:szCs w:val="28"/>
        </w:rPr>
        <w:t>три</w:t>
      </w:r>
      <w:r w:rsidR="005F7E74" w:rsidRPr="007C73AF">
        <w:rPr>
          <w:bCs/>
          <w:sz w:val="28"/>
          <w:szCs w:val="28"/>
        </w:rPr>
        <w:t xml:space="preserve"> мероприятия: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EA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Мероприятие </w:t>
      </w:r>
      <w:r w:rsidRPr="007C73AF">
        <w:rPr>
          <w:spacing w:val="-4"/>
          <w:sz w:val="28"/>
          <w:szCs w:val="28"/>
        </w:rPr>
        <w:t xml:space="preserve">1. 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Pr="007C73AF">
        <w:rPr>
          <w:spacing w:val="-4"/>
          <w:sz w:val="28"/>
          <w:szCs w:val="28"/>
        </w:rPr>
        <w:t xml:space="preserve">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10514F">
        <w:rPr>
          <w:sz w:val="28"/>
          <w:szCs w:val="28"/>
        </w:rPr>
        <w:t>дств  кр</w:t>
      </w:r>
      <w:proofErr w:type="gramEnd"/>
      <w:r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Главным распорядителем средств районного бюджета по мероприятиям подпрограммы является администрация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</w:t>
      </w:r>
      <w:r w:rsidR="005553D9">
        <w:rPr>
          <w:sz w:val="28"/>
          <w:szCs w:val="28"/>
        </w:rPr>
        <w:t>подп</w:t>
      </w:r>
      <w:r w:rsidRPr="0010514F">
        <w:rPr>
          <w:sz w:val="28"/>
          <w:szCs w:val="28"/>
        </w:rPr>
        <w:t xml:space="preserve">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>так и финансовая поддержка в создании 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</w:t>
      </w:r>
      <w:r w:rsidR="005553D9">
        <w:rPr>
          <w:spacing w:val="-3"/>
          <w:sz w:val="28"/>
          <w:szCs w:val="28"/>
        </w:rPr>
        <w:t>под</w:t>
      </w:r>
      <w:r w:rsidRPr="0010514F">
        <w:rPr>
          <w:spacing w:val="-3"/>
          <w:sz w:val="28"/>
          <w:szCs w:val="28"/>
        </w:rPr>
        <w:t xml:space="preserve">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</w:t>
      </w:r>
      <w:r w:rsidR="00013892">
        <w:rPr>
          <w:sz w:val="28"/>
          <w:szCs w:val="28"/>
        </w:rPr>
        <w:t>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1"/>
          <w:sz w:val="28"/>
          <w:szCs w:val="28"/>
        </w:rPr>
        <w:t>Оказание поддержки осуществляется при отсутствии у субъектов малого и среднего предпринимательства</w:t>
      </w:r>
      <w:r w:rsidRPr="0010514F">
        <w:rPr>
          <w:spacing w:val="-3"/>
          <w:sz w:val="28"/>
          <w:szCs w:val="28"/>
        </w:rPr>
        <w:t xml:space="preserve"> просроченной задолженности по налоговым и иным обязательным платежам в бюджетную </w:t>
      </w:r>
      <w:r w:rsidRPr="0010514F">
        <w:rPr>
          <w:sz w:val="28"/>
          <w:szCs w:val="28"/>
        </w:rPr>
        <w:t>систему Российской Федерации.</w:t>
      </w:r>
    </w:p>
    <w:p w:rsidR="00717000" w:rsidRPr="0010514F" w:rsidRDefault="005553D9" w:rsidP="00717000">
      <w:pPr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Порядок предоставления субсидий</w:t>
      </w:r>
      <w:r w:rsidR="00717000" w:rsidRPr="0010514F">
        <w:rPr>
          <w:sz w:val="28"/>
          <w:szCs w:val="28"/>
        </w:rPr>
        <w:t xml:space="preserve"> </w:t>
      </w:r>
      <w:r w:rsidR="00E95EB6">
        <w:rPr>
          <w:sz w:val="28"/>
          <w:szCs w:val="28"/>
        </w:rPr>
        <w:t xml:space="preserve">по мероприятию 1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92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</w:t>
      </w:r>
      <w:r w:rsidR="00717000" w:rsidRPr="0010514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>
        <w:rPr>
          <w:sz w:val="28"/>
          <w:szCs w:val="28"/>
        </w:rPr>
        <w:t>.</w:t>
      </w:r>
    </w:p>
    <w:p w:rsidR="00717000" w:rsidRDefault="005553D9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</w:t>
      </w:r>
      <w:r w:rsidR="00E95EB6">
        <w:rPr>
          <w:sz w:val="28"/>
          <w:szCs w:val="28"/>
        </w:rPr>
        <w:t xml:space="preserve">по  мероприятию 2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91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</w:t>
      </w:r>
      <w:r w:rsidR="00717000" w:rsidRPr="0010514F">
        <w:rPr>
          <w:spacing w:val="-4"/>
          <w:sz w:val="28"/>
          <w:szCs w:val="28"/>
        </w:rPr>
        <w:lastRenderedPageBreak/>
        <w:t xml:space="preserve">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деятельности».</w:t>
      </w:r>
    </w:p>
    <w:p w:rsidR="0049559E" w:rsidRDefault="0049559E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по мероприятию 3 утвержден постановлением администрации Манского района от 13.01.2023 № 21 «Об утверждении Порядка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деятельности».</w:t>
      </w:r>
    </w:p>
    <w:p w:rsidR="00ED1A2A" w:rsidRPr="005553D9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01389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сокра</w:t>
      </w:r>
      <w:r w:rsidR="00DC0C49">
        <w:rPr>
          <w:sz w:val="28"/>
          <w:szCs w:val="28"/>
        </w:rPr>
        <w:t>щени</w:t>
      </w:r>
      <w:r w:rsidR="00907AF3">
        <w:rPr>
          <w:sz w:val="28"/>
          <w:szCs w:val="28"/>
        </w:rPr>
        <w:t>е</w:t>
      </w:r>
      <w:r w:rsidR="00DC0C49">
        <w:rPr>
          <w:sz w:val="28"/>
          <w:szCs w:val="28"/>
        </w:rPr>
        <w:t xml:space="preserve"> числа </w:t>
      </w:r>
      <w:r w:rsidRPr="0010514F">
        <w:rPr>
          <w:sz w:val="28"/>
          <w:szCs w:val="28"/>
        </w:rPr>
        <w:t xml:space="preserve"> безработных</w:t>
      </w:r>
      <w:r w:rsidR="00DC0C49">
        <w:rPr>
          <w:sz w:val="28"/>
          <w:szCs w:val="28"/>
        </w:rPr>
        <w:t xml:space="preserve"> граждан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обрабатывающих производств</w:t>
      </w:r>
      <w:r w:rsidR="00907AF3">
        <w:rPr>
          <w:sz w:val="28"/>
          <w:szCs w:val="28"/>
        </w:rPr>
        <w:t>, а также субъектов малого и среднего предпринимательства, занимающихся другими приоритетными видами деятельности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EA33E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</w:t>
      </w:r>
      <w:r w:rsidR="00907AF3">
        <w:rPr>
          <w:sz w:val="28"/>
          <w:szCs w:val="28"/>
        </w:rPr>
        <w:t>ление</w:t>
      </w:r>
      <w:r w:rsidRPr="0010514F">
        <w:rPr>
          <w:sz w:val="28"/>
          <w:szCs w:val="28"/>
        </w:rPr>
        <w:t xml:space="preserve"> основны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фонд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 xml:space="preserve"> и увелич</w:t>
      </w:r>
      <w:r w:rsidR="00907AF3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имущественн</w:t>
      </w:r>
      <w:r w:rsidR="00907AF3">
        <w:rPr>
          <w:sz w:val="28"/>
          <w:szCs w:val="28"/>
        </w:rPr>
        <w:t>ого</w:t>
      </w:r>
      <w:r w:rsidRPr="0010514F">
        <w:rPr>
          <w:sz w:val="28"/>
          <w:szCs w:val="28"/>
        </w:rPr>
        <w:t xml:space="preserve"> комплекс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субъектов малого и среднего предпринимательства, занимающихся обрабатывающим производством</w:t>
      </w:r>
      <w:r w:rsidR="00DC0C49">
        <w:rPr>
          <w:sz w:val="28"/>
          <w:szCs w:val="28"/>
        </w:rPr>
        <w:t>, а также другими приоритетными видами деятельности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907AF3">
        <w:rPr>
          <w:sz w:val="28"/>
          <w:szCs w:val="28"/>
        </w:rPr>
        <w:t>повышение</w:t>
      </w:r>
      <w:r w:rsidRPr="0010514F">
        <w:rPr>
          <w:sz w:val="28"/>
          <w:szCs w:val="28"/>
        </w:rPr>
        <w:t xml:space="preserve"> размер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налоговых доходов</w:t>
      </w:r>
      <w:r w:rsidR="005553D9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>бюджета Манского района</w:t>
      </w:r>
      <w:r w:rsidRPr="0010514F">
        <w:rPr>
          <w:sz w:val="28"/>
          <w:szCs w:val="28"/>
        </w:rPr>
        <w:t xml:space="preserve">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5553D9">
        <w:rPr>
          <w:sz w:val="28"/>
          <w:szCs w:val="28"/>
        </w:rPr>
        <w:t>3</w:t>
      </w:r>
      <w:r w:rsidRPr="0010514F">
        <w:rPr>
          <w:sz w:val="28"/>
          <w:szCs w:val="28"/>
        </w:rPr>
        <w:t>-202</w:t>
      </w:r>
      <w:r w:rsidR="005553D9">
        <w:rPr>
          <w:sz w:val="28"/>
          <w:szCs w:val="28"/>
        </w:rPr>
        <w:t>5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B044C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05C2">
        <w:rPr>
          <w:sz w:val="28"/>
          <w:szCs w:val="28"/>
        </w:rPr>
        <w:t xml:space="preserve">бщий (текущий) контроль над </w:t>
      </w:r>
      <w:r w:rsidR="00C405C2" w:rsidRPr="00204D7D">
        <w:rPr>
          <w:sz w:val="28"/>
          <w:szCs w:val="28"/>
        </w:rPr>
        <w:t xml:space="preserve"> реализацией </w:t>
      </w:r>
      <w:r w:rsidR="006A2114">
        <w:rPr>
          <w:sz w:val="28"/>
          <w:szCs w:val="28"/>
        </w:rPr>
        <w:t>п</w:t>
      </w:r>
      <w:r w:rsidR="00C405C2" w:rsidRPr="00204D7D">
        <w:rPr>
          <w:sz w:val="28"/>
          <w:szCs w:val="28"/>
        </w:rPr>
        <w:t xml:space="preserve">рограммы осуществляет </w:t>
      </w:r>
      <w:r w:rsidR="00907AF3">
        <w:rPr>
          <w:sz w:val="28"/>
          <w:szCs w:val="28"/>
        </w:rPr>
        <w:t>У</w:t>
      </w:r>
      <w:r w:rsidR="00C405C2" w:rsidRPr="00204D7D">
        <w:rPr>
          <w:sz w:val="28"/>
          <w:szCs w:val="28"/>
        </w:rPr>
        <w:t>правление</w:t>
      </w:r>
      <w:r w:rsidR="00C405C2">
        <w:rPr>
          <w:sz w:val="28"/>
          <w:szCs w:val="28"/>
        </w:rPr>
        <w:t xml:space="preserve"> развития экономики и сельского хозяйства </w:t>
      </w:r>
      <w:r w:rsidR="00C405C2" w:rsidRPr="00204D7D">
        <w:rPr>
          <w:sz w:val="28"/>
          <w:szCs w:val="28"/>
        </w:rPr>
        <w:t xml:space="preserve"> администрации Манского района.</w:t>
      </w:r>
    </w:p>
    <w:p w:rsidR="00C405C2" w:rsidRPr="00204D7D" w:rsidRDefault="00C405C2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</w:t>
      </w:r>
      <w:r w:rsidR="00907AF3">
        <w:rPr>
          <w:sz w:val="28"/>
          <w:szCs w:val="28"/>
        </w:rPr>
        <w:t>Ф</w:t>
      </w:r>
      <w:r w:rsidRPr="00204D7D">
        <w:rPr>
          <w:sz w:val="28"/>
          <w:szCs w:val="28"/>
        </w:rPr>
        <w:t>инансовое управление администрации Манского района в срок до 10 числа второго месяца следующего за отчетным кварталом, годовой отчет в срок до 05 марта года следующего за отчетным годом.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907AF3">
        <w:rPr>
          <w:sz w:val="28"/>
          <w:szCs w:val="28"/>
        </w:rPr>
        <w:t xml:space="preserve"> 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</w:t>
      </w:r>
      <w:r w:rsidR="00C405C2" w:rsidRPr="00204D7D">
        <w:rPr>
          <w:sz w:val="28"/>
          <w:szCs w:val="28"/>
        </w:rPr>
        <w:lastRenderedPageBreak/>
        <w:t>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A3A" w:rsidRDefault="00C405C2" w:rsidP="0017239B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  <w:r w:rsidR="00C95A3A" w:rsidRPr="00C95A3A">
        <w:rPr>
          <w:sz w:val="28"/>
          <w:szCs w:val="28"/>
        </w:rPr>
        <w:t>Приложение № 1 к постановлению</w:t>
      </w:r>
    </w:p>
    <w:p w:rsidR="00C95A3A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 Манского района </w:t>
      </w:r>
    </w:p>
    <w:p w:rsidR="00C95A3A" w:rsidRPr="00C95A3A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№ 974            </w:t>
      </w:r>
    </w:p>
    <w:p w:rsidR="00C95A3A" w:rsidRDefault="00C95A3A" w:rsidP="0017239B">
      <w:pPr>
        <w:widowControl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7239B" w:rsidRPr="0002189F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7239B" w:rsidRPr="0002189F">
        <w:rPr>
          <w:sz w:val="28"/>
          <w:szCs w:val="28"/>
        </w:rPr>
        <w:t xml:space="preserve">Приложение № 1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28093F">
        <w:rPr>
          <w:rFonts w:ascii="Times New Roman" w:hAnsi="Times New Roman" w:cs="Times New Roman"/>
          <w:sz w:val="28"/>
          <w:szCs w:val="28"/>
        </w:rPr>
        <w:t>СВЕДЕНИЯ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программы, подпрограмм муниципальной программы,</w:t>
      </w:r>
    </w:p>
    <w:p w:rsidR="0017239B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 xml:space="preserve">отдельных мероприятий и их </w:t>
      </w:r>
      <w:proofErr w:type="gramStart"/>
      <w:r w:rsidRPr="0028093F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5A3A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765B36" w:rsidRPr="00C95A3A">
              <w:rPr>
                <w:color w:val="000000"/>
                <w:sz w:val="24"/>
                <w:szCs w:val="24"/>
              </w:rPr>
              <w:t xml:space="preserve">  и физических лиц, применяющих специальный налоговый режим «Налог на профессиональный доход»</w:t>
            </w:r>
            <w:r w:rsidRPr="00C95A3A">
              <w:rPr>
                <w:color w:val="000000"/>
                <w:sz w:val="24"/>
                <w:szCs w:val="24"/>
              </w:rPr>
              <w:t>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7C0B7B" w:rsidRDefault="0017239B" w:rsidP="00A400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95A3A"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C95A3A">
              <w:rPr>
                <w:color w:val="000000"/>
                <w:sz w:val="24"/>
                <w:szCs w:val="24"/>
              </w:rPr>
              <w:t xml:space="preserve">Количество созданных рабочих мест </w:t>
            </w:r>
            <w:r w:rsidR="00A40019" w:rsidRPr="00C95A3A">
              <w:rPr>
                <w:color w:val="000000"/>
                <w:sz w:val="24"/>
                <w:szCs w:val="24"/>
              </w:rPr>
              <w:t>субъектами</w:t>
            </w:r>
            <w:r w:rsidRPr="00C95A3A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 w:rsidR="00A40019" w:rsidRPr="00C95A3A">
              <w:rPr>
                <w:color w:val="000000"/>
                <w:sz w:val="24"/>
                <w:szCs w:val="24"/>
              </w:rPr>
              <w:t>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12336A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C95A3A"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C95A3A">
              <w:rPr>
                <w:color w:val="000000"/>
                <w:sz w:val="24"/>
                <w:szCs w:val="24"/>
              </w:rPr>
              <w:t xml:space="preserve">Количество сохраненных рабочих мест </w:t>
            </w:r>
            <w:r w:rsidR="00F00716" w:rsidRPr="00C95A3A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</w:t>
            </w:r>
            <w:r w:rsidRPr="00C95A3A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F00716" w:rsidRPr="00C95A3A">
              <w:rPr>
                <w:color w:val="000000"/>
                <w:sz w:val="24"/>
                <w:szCs w:val="24"/>
              </w:rPr>
              <w:t>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2336A" w:rsidP="0012336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</w:t>
            </w:r>
            <w:r w:rsidRPr="00C95A3A">
              <w:rPr>
                <w:color w:val="000000"/>
                <w:sz w:val="24"/>
                <w:szCs w:val="24"/>
              </w:rPr>
              <w:t xml:space="preserve">1.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 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95A3A">
              <w:rPr>
                <w:color w:val="000000"/>
                <w:sz w:val="24"/>
                <w:szCs w:val="24"/>
              </w:rPr>
              <w:t xml:space="preserve">2.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C95A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C95A3A">
        <w:rPr>
          <w:sz w:val="28"/>
          <w:szCs w:val="28"/>
        </w:rPr>
        <w:t xml:space="preserve"> к постановлению</w:t>
      </w:r>
    </w:p>
    <w:p w:rsid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администрации Манского района </w:t>
      </w:r>
    </w:p>
    <w:p w:rsidR="00C95A3A" w:rsidRP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от 28.12.2023 № 974            </w:t>
      </w: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02189F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2189F">
        <w:rPr>
          <w:sz w:val="28"/>
          <w:szCs w:val="28"/>
        </w:rPr>
        <w:t>Приложение №</w:t>
      </w:r>
      <w:r w:rsidR="00C95A3A">
        <w:rPr>
          <w:sz w:val="28"/>
          <w:szCs w:val="28"/>
        </w:rPr>
        <w:t xml:space="preserve"> </w:t>
      </w:r>
      <w:r w:rsidRPr="0002189F">
        <w:rPr>
          <w:sz w:val="28"/>
          <w:szCs w:val="28"/>
        </w:rPr>
        <w:t xml:space="preserve">2 </w:t>
      </w:r>
    </w:p>
    <w:p w:rsidR="0017239B" w:rsidRPr="00431E94" w:rsidRDefault="0017239B" w:rsidP="0017239B">
      <w:pPr>
        <w:tabs>
          <w:tab w:val="left" w:pos="1770"/>
        </w:tabs>
        <w:ind w:left="907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02189F">
        <w:rPr>
          <w:sz w:val="28"/>
          <w:szCs w:val="28"/>
        </w:rPr>
        <w:t xml:space="preserve"> </w:t>
      </w:r>
      <w:r w:rsidRPr="00431E94">
        <w:rPr>
          <w:sz w:val="28"/>
          <w:szCs w:val="28"/>
        </w:rPr>
        <w:t>«</w:t>
      </w:r>
      <w:r w:rsidRPr="00431E94">
        <w:rPr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Pr="00431E94">
        <w:rPr>
          <w:sz w:val="28"/>
          <w:szCs w:val="28"/>
        </w:rPr>
        <w:t>»</w:t>
      </w: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17239B" w:rsidRPr="008B522E" w:rsidRDefault="0017239B" w:rsidP="0017239B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B522E" w:rsidRDefault="0017239B" w:rsidP="0017239B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17239B" w:rsidRPr="008B522E" w:rsidRDefault="0017239B" w:rsidP="0017239B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B522E" w:rsidTr="00F00716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ПЕРЕЧЕНЬ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786"/>
        <w:gridCol w:w="1314"/>
        <w:gridCol w:w="1316"/>
        <w:gridCol w:w="2587"/>
        <w:gridCol w:w="274"/>
        <w:gridCol w:w="2693"/>
        <w:gridCol w:w="1985"/>
      </w:tblGrid>
      <w:tr w:rsidR="0017239B" w:rsidRPr="008B522E" w:rsidTr="00F00716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adjustRightInd w:val="0"/>
              <w:rPr>
                <w:spacing w:val="-4"/>
                <w:sz w:val="28"/>
                <w:szCs w:val="28"/>
              </w:rPr>
            </w:pPr>
            <w:r w:rsidRPr="000C7D61">
              <w:rPr>
                <w:sz w:val="24"/>
                <w:szCs w:val="24"/>
              </w:rPr>
              <w:t xml:space="preserve">Мероприятие 1: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0C7D61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0C7D61">
              <w:rPr>
                <w:sz w:val="24"/>
                <w:szCs w:val="24"/>
              </w:rPr>
              <w:t xml:space="preserve">увеличению </w:t>
            </w:r>
            <w:r>
              <w:rPr>
                <w:sz w:val="24"/>
                <w:szCs w:val="24"/>
              </w:rPr>
              <w:t>п</w:t>
            </w:r>
            <w:r w:rsidRPr="000C7D61">
              <w:rPr>
                <w:sz w:val="24"/>
                <w:szCs w:val="24"/>
              </w:rPr>
              <w:t>роизводительных сил в приоритетных видах деятельности.</w:t>
            </w:r>
          </w:p>
          <w:p w:rsidR="0017239B" w:rsidRPr="000C7D61" w:rsidRDefault="0017239B" w:rsidP="00F00716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</w:t>
            </w:r>
            <w:r w:rsidR="00E82028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01.01.202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62F30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31.12.202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Увеличение объема привлеченных инвестиций в секторе малого и среднего предпринимательства.</w:t>
            </w:r>
          </w:p>
          <w:p w:rsidR="00E82028" w:rsidRPr="008B522E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Создание новых рабочих мест и их сохранение субъектами малого и среднего предпринимательства, реализующими инвестиционные проекты.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E82028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</w:t>
            </w:r>
            <w:r w:rsidR="0017239B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E82028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3 единицы.</w:t>
            </w:r>
          </w:p>
          <w:p w:rsidR="0017239B" w:rsidRPr="008B522E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мест </w:t>
            </w:r>
            <w:r w:rsidR="00E82028">
              <w:rPr>
                <w:rFonts w:eastAsia="Calibri"/>
                <w:sz w:val="24"/>
                <w:szCs w:val="24"/>
              </w:rPr>
              <w:t xml:space="preserve">субъектами малого и среднего предпринимательства </w:t>
            </w:r>
            <w:r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E82028">
              <w:rPr>
                <w:rFonts w:eastAsia="Calibri"/>
                <w:sz w:val="24"/>
                <w:szCs w:val="24"/>
              </w:rPr>
              <w:t xml:space="preserve">и с учетом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82028">
              <w:rPr>
                <w:color w:val="000000"/>
                <w:sz w:val="24"/>
                <w:szCs w:val="24"/>
              </w:rPr>
              <w:t xml:space="preserve">физических лиц, применяющих специальный налоговый режим «Налог на профессиональный доход», получивших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5 единиц.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F00716">
        <w:trPr>
          <w:cantSplit/>
          <w:trHeight w:val="991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</w:t>
            </w:r>
            <w:r w:rsidR="00E82028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3 единицы.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Количество созданных рабочих мест </w:t>
            </w:r>
            <w:r w:rsidR="00E82028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предпринимательства, получившими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3 единицы.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rFonts w:eastAsia="Calibri"/>
                <w:sz w:val="24"/>
                <w:szCs w:val="24"/>
              </w:rPr>
              <w:t>Количество сохраненных рабочих</w:t>
            </w:r>
            <w:r w:rsidR="00E82028">
              <w:rPr>
                <w:rFonts w:eastAsia="Calibri"/>
                <w:sz w:val="24"/>
                <w:szCs w:val="24"/>
              </w:rPr>
              <w:t xml:space="preserve"> мест субъектами малого и среднего предпринимательства, получившими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3 единицы.</w:t>
            </w:r>
          </w:p>
          <w:p w:rsidR="0017239B" w:rsidRPr="008B522E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E82028">
              <w:rPr>
                <w:sz w:val="24"/>
                <w:szCs w:val="24"/>
              </w:rPr>
              <w:t>464,9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</w:tbl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17239B">
        <w:rPr>
          <w:sz w:val="28"/>
          <w:szCs w:val="28"/>
        </w:rPr>
        <w:t xml:space="preserve">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B040E9" w:rsidRPr="00017540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 № 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040E9" w:rsidRDefault="00B040E9" w:rsidP="00B040E9">
      <w:pPr>
        <w:adjustRightInd w:val="0"/>
        <w:ind w:firstLine="8364"/>
        <w:jc w:val="both"/>
        <w:rPr>
          <w:sz w:val="28"/>
          <w:szCs w:val="28"/>
        </w:rPr>
      </w:pPr>
    </w:p>
    <w:p w:rsidR="00B040E9" w:rsidRPr="008D6094" w:rsidRDefault="00B040E9" w:rsidP="00B040E9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3</w:t>
      </w:r>
    </w:p>
    <w:p w:rsidR="00B040E9" w:rsidRPr="008D6094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B040E9" w:rsidRPr="0002189F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B040E9" w:rsidRPr="008B522E" w:rsidRDefault="00B040E9" w:rsidP="00B040E9">
      <w:pPr>
        <w:adjustRightInd w:val="0"/>
        <w:ind w:left="8460"/>
        <w:rPr>
          <w:sz w:val="24"/>
          <w:szCs w:val="24"/>
        </w:rPr>
      </w:pPr>
    </w:p>
    <w:p w:rsidR="00B040E9" w:rsidRDefault="00B040E9" w:rsidP="00B040E9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B040E9" w:rsidRPr="001065E2" w:rsidRDefault="00B040E9" w:rsidP="00B040E9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B040E9" w:rsidRPr="008B522E" w:rsidTr="00AF2812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B040E9" w:rsidRPr="008B522E" w:rsidTr="00AF2812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B040E9" w:rsidRPr="008B522E" w:rsidTr="00AF2812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6680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6680</w:t>
            </w:r>
          </w:p>
          <w:p w:rsidR="00B040E9" w:rsidRPr="00D9542B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287,274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2 608,200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Манского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D9542B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5C685F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5C685F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3A495C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E15D3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6FA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6FA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3A495C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227,274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2 608,200</w:t>
            </w:r>
          </w:p>
        </w:tc>
      </w:tr>
      <w:tr w:rsidR="00B040E9" w:rsidRPr="008B522E" w:rsidTr="00AF2812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0844F0" w:rsidRDefault="00B040E9" w:rsidP="00AF2812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Pr="008D6094">
              <w:rPr>
                <w:sz w:val="24"/>
                <w:szCs w:val="24"/>
              </w:rPr>
              <w:t>,00</w:t>
            </w:r>
          </w:p>
        </w:tc>
      </w:tr>
      <w:tr w:rsidR="00B040E9" w:rsidRPr="008B522E" w:rsidTr="00AF2812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  <w:r w:rsidRPr="008D6094">
              <w:rPr>
                <w:sz w:val="22"/>
                <w:szCs w:val="22"/>
              </w:rPr>
              <w:t>11</w:t>
            </w:r>
            <w:r w:rsidRPr="008D6094">
              <w:rPr>
                <w:sz w:val="22"/>
                <w:szCs w:val="22"/>
                <w:lang w:val="en-US"/>
              </w:rPr>
              <w:t>100S6</w:t>
            </w:r>
            <w:r w:rsidRPr="008D6094">
              <w:rPr>
                <w:sz w:val="22"/>
                <w:szCs w:val="22"/>
              </w:rPr>
              <w:t>680</w:t>
            </w: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2"/>
                <w:szCs w:val="22"/>
              </w:rPr>
              <w:t>11100</w:t>
            </w:r>
            <w:r w:rsidRPr="008D6094">
              <w:rPr>
                <w:sz w:val="22"/>
                <w:szCs w:val="22"/>
                <w:lang w:val="en-US"/>
              </w:rPr>
              <w:t>S6</w:t>
            </w:r>
            <w:r w:rsidRPr="008D6094"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 w:rsidRPr="008D6094">
              <w:rPr>
                <w:sz w:val="24"/>
                <w:szCs w:val="24"/>
              </w:rPr>
              <w:t>813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  <w:lang w:val="en-US"/>
              </w:rPr>
              <w:t>81</w:t>
            </w:r>
            <w:r w:rsidRPr="008D609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Pr="008D6094">
              <w:rPr>
                <w:sz w:val="24"/>
                <w:szCs w:val="24"/>
              </w:rPr>
              <w:t>,00</w:t>
            </w:r>
          </w:p>
        </w:tc>
      </w:tr>
    </w:tbl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B040E9" w:rsidRPr="00017540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 № 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B040E9" w:rsidRPr="008D6094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4</w:t>
      </w:r>
    </w:p>
    <w:p w:rsidR="00B040E9" w:rsidRPr="008D6094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B040E9" w:rsidRPr="0002189F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B040E9" w:rsidRPr="008B522E" w:rsidRDefault="00B040E9" w:rsidP="00B040E9">
      <w:pPr>
        <w:adjustRightInd w:val="0"/>
        <w:ind w:left="8460"/>
        <w:rPr>
          <w:sz w:val="24"/>
          <w:szCs w:val="24"/>
        </w:rPr>
      </w:pPr>
    </w:p>
    <w:p w:rsidR="00B040E9" w:rsidRPr="001065E2" w:rsidRDefault="00B040E9" w:rsidP="00B040E9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</w:p>
    <w:p w:rsidR="00B040E9" w:rsidRPr="008B522E" w:rsidRDefault="00B040E9" w:rsidP="00B040E9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B040E9" w:rsidRPr="008B522E" w:rsidTr="00AF2812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B040E9" w:rsidRPr="008B522E" w:rsidTr="00AF2812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B040E9" w:rsidRPr="008B522E" w:rsidTr="00AF2812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3 765 474,00</w:t>
            </w: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3 463 200,00</w:t>
            </w:r>
          </w:p>
        </w:tc>
      </w:tr>
      <w:tr w:rsidR="00B040E9" w:rsidRPr="008B522E" w:rsidTr="00AF2812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3 765 474,00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3 463 200,00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B040E9" w:rsidRPr="008B522E" w:rsidTr="00AF2812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2 835 474,00</w:t>
            </w:r>
          </w:p>
        </w:tc>
      </w:tr>
      <w:tr w:rsidR="00B040E9" w:rsidRPr="008B522E" w:rsidTr="00AF2812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2 608 200,00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227 274,00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B040E9" w:rsidRDefault="00B040E9" w:rsidP="00B040E9">
      <w:pPr>
        <w:rPr>
          <w:sz w:val="24"/>
          <w:szCs w:val="24"/>
        </w:rPr>
      </w:pPr>
    </w:p>
    <w:p w:rsidR="00B040E9" w:rsidRPr="008B522E" w:rsidRDefault="00B040E9" w:rsidP="00B040E9">
      <w:pPr>
        <w:widowControl/>
        <w:adjustRightInd w:val="0"/>
        <w:outlineLvl w:val="2"/>
        <w:rPr>
          <w:sz w:val="24"/>
          <w:szCs w:val="24"/>
        </w:rPr>
      </w:pP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B040E9" w:rsidRDefault="00B040E9" w:rsidP="00B040E9">
      <w:pPr>
        <w:widowControl/>
        <w:adjustRightInd w:val="0"/>
        <w:ind w:firstLine="8364"/>
        <w:outlineLvl w:val="2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C405C2" w:rsidRPr="001065E2" w:rsidRDefault="00C405C2" w:rsidP="00B040E9">
      <w:pPr>
        <w:adjustRightInd w:val="0"/>
        <w:ind w:firstLine="8364"/>
        <w:jc w:val="both"/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892"/>
    <w:rsid w:val="000143F4"/>
    <w:rsid w:val="00031624"/>
    <w:rsid w:val="00071043"/>
    <w:rsid w:val="00075339"/>
    <w:rsid w:val="000838D8"/>
    <w:rsid w:val="000844F0"/>
    <w:rsid w:val="00086C66"/>
    <w:rsid w:val="00093EF1"/>
    <w:rsid w:val="000A26E4"/>
    <w:rsid w:val="000C2158"/>
    <w:rsid w:val="000C53C2"/>
    <w:rsid w:val="000C7D61"/>
    <w:rsid w:val="000D6255"/>
    <w:rsid w:val="000E33C1"/>
    <w:rsid w:val="000F0D23"/>
    <w:rsid w:val="0010514F"/>
    <w:rsid w:val="001172EA"/>
    <w:rsid w:val="0012017B"/>
    <w:rsid w:val="0012336A"/>
    <w:rsid w:val="001671DC"/>
    <w:rsid w:val="00170A2D"/>
    <w:rsid w:val="0017239B"/>
    <w:rsid w:val="001850A6"/>
    <w:rsid w:val="0018704B"/>
    <w:rsid w:val="00187371"/>
    <w:rsid w:val="0018796B"/>
    <w:rsid w:val="00197430"/>
    <w:rsid w:val="001A4135"/>
    <w:rsid w:val="001B11D2"/>
    <w:rsid w:val="001C4D47"/>
    <w:rsid w:val="001D1381"/>
    <w:rsid w:val="0025627F"/>
    <w:rsid w:val="00262AD2"/>
    <w:rsid w:val="00271394"/>
    <w:rsid w:val="002A00E6"/>
    <w:rsid w:val="002B4EE1"/>
    <w:rsid w:val="002D1537"/>
    <w:rsid w:val="002D1BF4"/>
    <w:rsid w:val="002E4C61"/>
    <w:rsid w:val="002F4A69"/>
    <w:rsid w:val="003046E9"/>
    <w:rsid w:val="00313D25"/>
    <w:rsid w:val="003309FD"/>
    <w:rsid w:val="00346E1A"/>
    <w:rsid w:val="00354FA7"/>
    <w:rsid w:val="003623B7"/>
    <w:rsid w:val="003630DD"/>
    <w:rsid w:val="0037629C"/>
    <w:rsid w:val="0038226C"/>
    <w:rsid w:val="00382483"/>
    <w:rsid w:val="003A495C"/>
    <w:rsid w:val="003C5B3C"/>
    <w:rsid w:val="00431E94"/>
    <w:rsid w:val="004543DE"/>
    <w:rsid w:val="00473E7B"/>
    <w:rsid w:val="0049559E"/>
    <w:rsid w:val="004956F6"/>
    <w:rsid w:val="004961B9"/>
    <w:rsid w:val="004A0AD4"/>
    <w:rsid w:val="004A2B97"/>
    <w:rsid w:val="004D4348"/>
    <w:rsid w:val="004D7C40"/>
    <w:rsid w:val="004E182A"/>
    <w:rsid w:val="004E1CB3"/>
    <w:rsid w:val="00504B08"/>
    <w:rsid w:val="005553D9"/>
    <w:rsid w:val="00557E88"/>
    <w:rsid w:val="00580A50"/>
    <w:rsid w:val="00580F58"/>
    <w:rsid w:val="00591C53"/>
    <w:rsid w:val="00595113"/>
    <w:rsid w:val="005B7B54"/>
    <w:rsid w:val="005C00A7"/>
    <w:rsid w:val="005C685F"/>
    <w:rsid w:val="005E15D6"/>
    <w:rsid w:val="005F7E74"/>
    <w:rsid w:val="00624D68"/>
    <w:rsid w:val="0063154B"/>
    <w:rsid w:val="00636370"/>
    <w:rsid w:val="00644CA0"/>
    <w:rsid w:val="00654399"/>
    <w:rsid w:val="00661114"/>
    <w:rsid w:val="00676666"/>
    <w:rsid w:val="006A2114"/>
    <w:rsid w:val="006A2C56"/>
    <w:rsid w:val="006A2D56"/>
    <w:rsid w:val="006A381F"/>
    <w:rsid w:val="006E72B0"/>
    <w:rsid w:val="00715DF6"/>
    <w:rsid w:val="00717000"/>
    <w:rsid w:val="0072628A"/>
    <w:rsid w:val="00734857"/>
    <w:rsid w:val="00765B36"/>
    <w:rsid w:val="00771322"/>
    <w:rsid w:val="0077536B"/>
    <w:rsid w:val="0078142A"/>
    <w:rsid w:val="0078212D"/>
    <w:rsid w:val="00783C00"/>
    <w:rsid w:val="007A2307"/>
    <w:rsid w:val="007C0B7B"/>
    <w:rsid w:val="007C2F39"/>
    <w:rsid w:val="007C5176"/>
    <w:rsid w:val="007C73AF"/>
    <w:rsid w:val="007D2327"/>
    <w:rsid w:val="00800282"/>
    <w:rsid w:val="008076B5"/>
    <w:rsid w:val="008122B3"/>
    <w:rsid w:val="00822EF1"/>
    <w:rsid w:val="00844A9A"/>
    <w:rsid w:val="00850A1F"/>
    <w:rsid w:val="00851277"/>
    <w:rsid w:val="00863F9F"/>
    <w:rsid w:val="0088509A"/>
    <w:rsid w:val="008916EC"/>
    <w:rsid w:val="008A3CF9"/>
    <w:rsid w:val="008A5DB3"/>
    <w:rsid w:val="008B2BFE"/>
    <w:rsid w:val="008C024E"/>
    <w:rsid w:val="008C0D88"/>
    <w:rsid w:val="008D66FA"/>
    <w:rsid w:val="008E07F2"/>
    <w:rsid w:val="008E2D1E"/>
    <w:rsid w:val="008E60F2"/>
    <w:rsid w:val="00907AF3"/>
    <w:rsid w:val="009154F7"/>
    <w:rsid w:val="0092788A"/>
    <w:rsid w:val="0093468D"/>
    <w:rsid w:val="00951763"/>
    <w:rsid w:val="00964BBD"/>
    <w:rsid w:val="00974D44"/>
    <w:rsid w:val="009802CE"/>
    <w:rsid w:val="00985FD7"/>
    <w:rsid w:val="009966E4"/>
    <w:rsid w:val="009A7E98"/>
    <w:rsid w:val="009B3E9D"/>
    <w:rsid w:val="009C4201"/>
    <w:rsid w:val="009E6A75"/>
    <w:rsid w:val="009F6668"/>
    <w:rsid w:val="00A11262"/>
    <w:rsid w:val="00A1720C"/>
    <w:rsid w:val="00A325E3"/>
    <w:rsid w:val="00A40019"/>
    <w:rsid w:val="00A410F3"/>
    <w:rsid w:val="00A4315A"/>
    <w:rsid w:val="00A537D7"/>
    <w:rsid w:val="00A617BC"/>
    <w:rsid w:val="00A70CDE"/>
    <w:rsid w:val="00A81C70"/>
    <w:rsid w:val="00A93C58"/>
    <w:rsid w:val="00AA053C"/>
    <w:rsid w:val="00AA6922"/>
    <w:rsid w:val="00AB5C43"/>
    <w:rsid w:val="00AF01EB"/>
    <w:rsid w:val="00AF6F0C"/>
    <w:rsid w:val="00B00DC4"/>
    <w:rsid w:val="00B040E9"/>
    <w:rsid w:val="00B048BA"/>
    <w:rsid w:val="00B13309"/>
    <w:rsid w:val="00B2214F"/>
    <w:rsid w:val="00B26A08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B1047"/>
    <w:rsid w:val="00BC4D16"/>
    <w:rsid w:val="00BD747F"/>
    <w:rsid w:val="00BF48DA"/>
    <w:rsid w:val="00BF7321"/>
    <w:rsid w:val="00BF762A"/>
    <w:rsid w:val="00C04B36"/>
    <w:rsid w:val="00C06954"/>
    <w:rsid w:val="00C16912"/>
    <w:rsid w:val="00C34BE3"/>
    <w:rsid w:val="00C3668C"/>
    <w:rsid w:val="00C405C2"/>
    <w:rsid w:val="00C41DC6"/>
    <w:rsid w:val="00C52539"/>
    <w:rsid w:val="00C53683"/>
    <w:rsid w:val="00C65A46"/>
    <w:rsid w:val="00C95A3A"/>
    <w:rsid w:val="00CA28D6"/>
    <w:rsid w:val="00CB044C"/>
    <w:rsid w:val="00CB2CAE"/>
    <w:rsid w:val="00CF1035"/>
    <w:rsid w:val="00D0127D"/>
    <w:rsid w:val="00D01816"/>
    <w:rsid w:val="00D03EEC"/>
    <w:rsid w:val="00D15B89"/>
    <w:rsid w:val="00D315CA"/>
    <w:rsid w:val="00D5751C"/>
    <w:rsid w:val="00D62362"/>
    <w:rsid w:val="00D70B50"/>
    <w:rsid w:val="00D923A1"/>
    <w:rsid w:val="00D9542B"/>
    <w:rsid w:val="00DA1B40"/>
    <w:rsid w:val="00DA45E5"/>
    <w:rsid w:val="00DB1B79"/>
    <w:rsid w:val="00DC011D"/>
    <w:rsid w:val="00DC0C49"/>
    <w:rsid w:val="00DD01A1"/>
    <w:rsid w:val="00E0205A"/>
    <w:rsid w:val="00E121D5"/>
    <w:rsid w:val="00E15D34"/>
    <w:rsid w:val="00E31250"/>
    <w:rsid w:val="00E338C2"/>
    <w:rsid w:val="00E41802"/>
    <w:rsid w:val="00E45293"/>
    <w:rsid w:val="00E64646"/>
    <w:rsid w:val="00E82028"/>
    <w:rsid w:val="00E9452E"/>
    <w:rsid w:val="00E95EB6"/>
    <w:rsid w:val="00EA33E2"/>
    <w:rsid w:val="00ED1A2A"/>
    <w:rsid w:val="00ED687A"/>
    <w:rsid w:val="00F00716"/>
    <w:rsid w:val="00F06804"/>
    <w:rsid w:val="00F3799A"/>
    <w:rsid w:val="00F4329D"/>
    <w:rsid w:val="00F46D0A"/>
    <w:rsid w:val="00F61301"/>
    <w:rsid w:val="00F726B3"/>
    <w:rsid w:val="00F727F7"/>
    <w:rsid w:val="00F90351"/>
    <w:rsid w:val="00F93717"/>
    <w:rsid w:val="00FC35F6"/>
    <w:rsid w:val="00FD5CEE"/>
    <w:rsid w:val="00FE3A0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4FB9-4905-4FA9-8417-B2C74CFA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3</cp:revision>
  <cp:lastPrinted>2023-02-08T07:07:00Z</cp:lastPrinted>
  <dcterms:created xsi:type="dcterms:W3CDTF">2024-01-07T12:36:00Z</dcterms:created>
  <dcterms:modified xsi:type="dcterms:W3CDTF">2024-01-09T02:03:00Z</dcterms:modified>
</cp:coreProperties>
</file>