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3" w:rsidRDefault="00614D53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На территории Манского района наблюдается увеличение числа субъектов малого и среднего предпринимательства (далее – субъекты МСП) начиная с 20</w:t>
      </w:r>
      <w:r w:rsidR="001F3BBA">
        <w:rPr>
          <w:rFonts w:ascii="Times New Roman CYR" w:hAnsi="Times New Roman CYR" w:cs="Times New Roman CYR"/>
          <w:sz w:val="27"/>
          <w:szCs w:val="27"/>
        </w:rPr>
        <w:t>20</w:t>
      </w:r>
      <w:r>
        <w:rPr>
          <w:rFonts w:ascii="Times New Roman CYR" w:hAnsi="Times New Roman CYR" w:cs="Times New Roman CYR"/>
          <w:sz w:val="27"/>
          <w:szCs w:val="27"/>
        </w:rPr>
        <w:t xml:space="preserve"> года.</w:t>
      </w:r>
    </w:p>
    <w:tbl>
      <w:tblPr>
        <w:tblStyle w:val="a5"/>
        <w:tblW w:w="0" w:type="auto"/>
        <w:tblInd w:w="140" w:type="dxa"/>
        <w:tblLook w:val="04A0" w:firstRow="1" w:lastRow="0" w:firstColumn="1" w:lastColumn="0" w:noHBand="0" w:noVBand="1"/>
      </w:tblPr>
      <w:tblGrid>
        <w:gridCol w:w="3046"/>
        <w:gridCol w:w="1296"/>
        <w:gridCol w:w="1296"/>
        <w:gridCol w:w="1398"/>
        <w:gridCol w:w="1296"/>
        <w:gridCol w:w="1383"/>
      </w:tblGrid>
      <w:tr w:rsidR="00976B7E" w:rsidTr="0031528B">
        <w:tc>
          <w:tcPr>
            <w:tcW w:w="304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6B7E">
              <w:rPr>
                <w:rFonts w:ascii="Times New Roman CYR" w:hAnsi="Times New Roman CYR" w:cs="Times New Roman CYR"/>
                <w:sz w:val="24"/>
                <w:szCs w:val="24"/>
              </w:rPr>
              <w:t>на 01.01.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01.01.2021</w:t>
            </w:r>
          </w:p>
        </w:tc>
        <w:tc>
          <w:tcPr>
            <w:tcW w:w="1398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01.01.2022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01.01.2023</w:t>
            </w:r>
          </w:p>
        </w:tc>
        <w:tc>
          <w:tcPr>
            <w:tcW w:w="1383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01.01.2024</w:t>
            </w:r>
          </w:p>
        </w:tc>
      </w:tr>
      <w:tr w:rsidR="00976B7E" w:rsidTr="0031528B">
        <w:tc>
          <w:tcPr>
            <w:tcW w:w="304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субъектов МСП, ед.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380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386</w:t>
            </w:r>
          </w:p>
        </w:tc>
        <w:tc>
          <w:tcPr>
            <w:tcW w:w="1398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399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424</w:t>
            </w:r>
          </w:p>
        </w:tc>
        <w:tc>
          <w:tcPr>
            <w:tcW w:w="1383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450</w:t>
            </w:r>
          </w:p>
        </w:tc>
      </w:tr>
      <w:tr w:rsidR="00976B7E" w:rsidTr="0031528B">
        <w:tc>
          <w:tcPr>
            <w:tcW w:w="3046" w:type="dxa"/>
          </w:tcPr>
          <w:p w:rsidR="00976B7E" w:rsidRPr="00976B7E" w:rsidRDefault="00976B7E" w:rsidP="003152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темп роста количества субъектов МСП на конец периода</w:t>
            </w:r>
            <w:r w:rsidR="0031528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31528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соответствующему периоду предыдущего года, %</w:t>
            </w:r>
          </w:p>
        </w:tc>
        <w:tc>
          <w:tcPr>
            <w:tcW w:w="1296" w:type="dxa"/>
          </w:tcPr>
          <w:p w:rsidR="00976B7E" w:rsidRPr="00976B7E" w:rsidRDefault="00976B7E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98,44</w:t>
            </w:r>
          </w:p>
        </w:tc>
        <w:tc>
          <w:tcPr>
            <w:tcW w:w="1296" w:type="dxa"/>
          </w:tcPr>
          <w:p w:rsidR="00976B7E" w:rsidRPr="00976B7E" w:rsidRDefault="0031528B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101,58</w:t>
            </w:r>
          </w:p>
        </w:tc>
        <w:tc>
          <w:tcPr>
            <w:tcW w:w="1398" w:type="dxa"/>
          </w:tcPr>
          <w:p w:rsidR="00976B7E" w:rsidRPr="00976B7E" w:rsidRDefault="0031528B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103,37</w:t>
            </w:r>
          </w:p>
        </w:tc>
        <w:tc>
          <w:tcPr>
            <w:tcW w:w="1296" w:type="dxa"/>
          </w:tcPr>
          <w:p w:rsidR="00976B7E" w:rsidRPr="00976B7E" w:rsidRDefault="0031528B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106,26</w:t>
            </w:r>
          </w:p>
        </w:tc>
        <w:tc>
          <w:tcPr>
            <w:tcW w:w="1383" w:type="dxa"/>
          </w:tcPr>
          <w:p w:rsidR="00976B7E" w:rsidRPr="00976B7E" w:rsidRDefault="0031528B" w:rsidP="0048754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106,13</w:t>
            </w:r>
          </w:p>
        </w:tc>
      </w:tr>
    </w:tbl>
    <w:p w:rsidR="00614D53" w:rsidRDefault="00614D53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B60D87" w:rsidRDefault="0031528B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Из общего числа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субъектов </w:t>
      </w:r>
      <w:r>
        <w:rPr>
          <w:rFonts w:ascii="Times New Roman CYR" w:hAnsi="Times New Roman CYR" w:cs="Times New Roman CYR"/>
          <w:sz w:val="27"/>
          <w:szCs w:val="27"/>
        </w:rPr>
        <w:t>МСП н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>а 01.01.202</w:t>
      </w:r>
      <w:r>
        <w:rPr>
          <w:rFonts w:ascii="Times New Roman CYR" w:hAnsi="Times New Roman CYR" w:cs="Times New Roman CYR"/>
          <w:sz w:val="27"/>
          <w:szCs w:val="27"/>
        </w:rPr>
        <w:t>4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60D87">
        <w:rPr>
          <w:rFonts w:ascii="Times New Roman CYR" w:hAnsi="Times New Roman CYR" w:cs="Times New Roman CYR"/>
          <w:sz w:val="27"/>
          <w:szCs w:val="27"/>
        </w:rPr>
        <w:t>(</w:t>
      </w:r>
      <w:r>
        <w:rPr>
          <w:rFonts w:ascii="Times New Roman CYR" w:hAnsi="Times New Roman CYR" w:cs="Times New Roman CYR"/>
          <w:sz w:val="27"/>
          <w:szCs w:val="27"/>
        </w:rPr>
        <w:t>450 единиц</w:t>
      </w:r>
      <w:r w:rsidR="00B60D87">
        <w:rPr>
          <w:rFonts w:ascii="Times New Roman CYR" w:hAnsi="Times New Roman CYR" w:cs="Times New Roman CYR"/>
          <w:sz w:val="27"/>
          <w:szCs w:val="27"/>
        </w:rPr>
        <w:t>):</w:t>
      </w:r>
    </w:p>
    <w:p w:rsidR="00B60D87" w:rsidRDefault="00B60D87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-</w:t>
      </w:r>
      <w:r w:rsidR="0031528B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количество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малых и </w:t>
      </w:r>
      <w:proofErr w:type="spellStart"/>
      <w:r w:rsidR="004A5C40" w:rsidRPr="00E834FE">
        <w:rPr>
          <w:rFonts w:ascii="Times New Roman CYR" w:hAnsi="Times New Roman CYR" w:cs="Times New Roman CYR"/>
          <w:sz w:val="27"/>
          <w:szCs w:val="27"/>
        </w:rPr>
        <w:t>микропредприятий</w:t>
      </w:r>
      <w:proofErr w:type="spellEnd"/>
      <w:r w:rsidR="0064121A" w:rsidRPr="00E834FE">
        <w:rPr>
          <w:rFonts w:ascii="Times New Roman CYR" w:hAnsi="Times New Roman CYR" w:cs="Times New Roman CYR"/>
          <w:sz w:val="27"/>
          <w:szCs w:val="27"/>
        </w:rPr>
        <w:t xml:space="preserve"> (юридических лиц)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 </w:t>
      </w:r>
      <w:r>
        <w:rPr>
          <w:rFonts w:ascii="Times New Roman CYR" w:hAnsi="Times New Roman CYR" w:cs="Times New Roman CYR"/>
          <w:sz w:val="27"/>
          <w:szCs w:val="27"/>
        </w:rPr>
        <w:t xml:space="preserve">составило </w:t>
      </w:r>
      <w:r w:rsidR="0031528B">
        <w:rPr>
          <w:rFonts w:ascii="Times New Roman CYR" w:hAnsi="Times New Roman CYR" w:cs="Times New Roman CYR"/>
          <w:sz w:val="27"/>
          <w:szCs w:val="27"/>
        </w:rPr>
        <w:t>68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>единиц</w:t>
      </w:r>
      <w:r w:rsidR="005A26CC">
        <w:rPr>
          <w:rFonts w:ascii="Times New Roman CYR" w:hAnsi="Times New Roman CYR" w:cs="Times New Roman CYR"/>
          <w:sz w:val="27"/>
          <w:szCs w:val="27"/>
        </w:rPr>
        <w:t xml:space="preserve"> (7 малых предприятий и 61 </w:t>
      </w:r>
      <w:proofErr w:type="spellStart"/>
      <w:r w:rsidR="005A26CC">
        <w:rPr>
          <w:rFonts w:ascii="Times New Roman CYR" w:hAnsi="Times New Roman CYR" w:cs="Times New Roman CYR"/>
          <w:sz w:val="27"/>
          <w:szCs w:val="27"/>
        </w:rPr>
        <w:t>микропредприятие</w:t>
      </w:r>
      <w:proofErr w:type="spellEnd"/>
      <w:r w:rsidR="005A26CC">
        <w:rPr>
          <w:rFonts w:ascii="Times New Roman CYR" w:hAnsi="Times New Roman CYR" w:cs="Times New Roman CYR"/>
          <w:sz w:val="27"/>
          <w:szCs w:val="27"/>
        </w:rPr>
        <w:t>)</w:t>
      </w:r>
      <w:r>
        <w:rPr>
          <w:rFonts w:ascii="Times New Roman CYR" w:hAnsi="Times New Roman CYR" w:cs="Times New Roman CYR"/>
          <w:sz w:val="27"/>
          <w:szCs w:val="27"/>
        </w:rPr>
        <w:t>, осталось на прежнем уровне по сравнению с 2023 годом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;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 </w:t>
      </w:r>
    </w:p>
    <w:p w:rsidR="00487546" w:rsidRPr="00E834FE" w:rsidRDefault="00B60D87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- 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количество индивидуальных предпринимателей увеличилось на </w:t>
      </w:r>
      <w:r>
        <w:rPr>
          <w:rFonts w:ascii="Times New Roman CYR" w:hAnsi="Times New Roman CYR" w:cs="Times New Roman CYR"/>
          <w:sz w:val="27"/>
          <w:szCs w:val="27"/>
        </w:rPr>
        <w:t>2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6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F3BBA">
        <w:rPr>
          <w:rFonts w:ascii="Times New Roman CYR" w:hAnsi="Times New Roman CYR" w:cs="Times New Roman CYR"/>
          <w:sz w:val="27"/>
          <w:szCs w:val="27"/>
        </w:rPr>
        <w:t>человек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(с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3</w:t>
      </w:r>
      <w:r>
        <w:rPr>
          <w:rFonts w:ascii="Times New Roman CYR" w:hAnsi="Times New Roman CYR" w:cs="Times New Roman CYR"/>
          <w:sz w:val="27"/>
          <w:szCs w:val="27"/>
        </w:rPr>
        <w:t>56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 до 3</w:t>
      </w:r>
      <w:r>
        <w:rPr>
          <w:rFonts w:ascii="Times New Roman CYR" w:hAnsi="Times New Roman CYR" w:cs="Times New Roman CYR"/>
          <w:sz w:val="27"/>
          <w:szCs w:val="27"/>
        </w:rPr>
        <w:t>82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>)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или  на </w:t>
      </w:r>
      <w:r>
        <w:rPr>
          <w:rFonts w:ascii="Times New Roman CYR" w:hAnsi="Times New Roman CYR" w:cs="Times New Roman CYR"/>
          <w:sz w:val="27"/>
          <w:szCs w:val="27"/>
        </w:rPr>
        <w:t>7,3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%</w:t>
      </w:r>
      <w:r w:rsidR="004A5C40"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8D0A8E" w:rsidRDefault="008D0A8E" w:rsidP="008D0A8E">
      <w:pPr>
        <w:pStyle w:val="Default"/>
        <w:jc w:val="both"/>
        <w:rPr>
          <w:sz w:val="27"/>
          <w:szCs w:val="27"/>
        </w:rPr>
      </w:pPr>
      <w:r w:rsidRPr="00E834FE">
        <w:rPr>
          <w:sz w:val="27"/>
          <w:szCs w:val="27"/>
        </w:rPr>
        <w:t xml:space="preserve">           По состоянию </w:t>
      </w:r>
      <w:proofErr w:type="gramStart"/>
      <w:r w:rsidRPr="00E834FE">
        <w:rPr>
          <w:sz w:val="27"/>
          <w:szCs w:val="27"/>
        </w:rPr>
        <w:t>на конец</w:t>
      </w:r>
      <w:proofErr w:type="gramEnd"/>
      <w:r w:rsidRPr="00E834FE">
        <w:rPr>
          <w:sz w:val="27"/>
          <w:szCs w:val="27"/>
        </w:rPr>
        <w:t xml:space="preserve"> 202</w:t>
      </w:r>
      <w:r w:rsidR="005A26CC">
        <w:rPr>
          <w:sz w:val="27"/>
          <w:szCs w:val="27"/>
        </w:rPr>
        <w:t>3</w:t>
      </w:r>
      <w:r w:rsidRPr="00E834FE">
        <w:rPr>
          <w:sz w:val="27"/>
          <w:szCs w:val="27"/>
        </w:rPr>
        <w:t xml:space="preserve"> года по числу субъектов МСП отраслевая структура </w:t>
      </w:r>
      <w:r w:rsidR="003F4E04">
        <w:rPr>
          <w:sz w:val="27"/>
          <w:szCs w:val="27"/>
        </w:rPr>
        <w:t>экон</w:t>
      </w:r>
      <w:bookmarkStart w:id="0" w:name="_GoBack"/>
      <w:bookmarkEnd w:id="0"/>
      <w:r w:rsidR="003F4E04">
        <w:rPr>
          <w:sz w:val="27"/>
          <w:szCs w:val="27"/>
        </w:rPr>
        <w:t xml:space="preserve">омики </w:t>
      </w:r>
      <w:r w:rsidR="001F3BBA">
        <w:rPr>
          <w:sz w:val="27"/>
          <w:szCs w:val="27"/>
        </w:rPr>
        <w:t xml:space="preserve">Манского района </w:t>
      </w:r>
      <w:r w:rsidRPr="00E834FE">
        <w:rPr>
          <w:sz w:val="27"/>
          <w:szCs w:val="27"/>
        </w:rPr>
        <w:t xml:space="preserve">выглядит следующим образом: </w:t>
      </w:r>
    </w:p>
    <w:p w:rsidR="00B50FB2" w:rsidRDefault="00B50FB2" w:rsidP="00B50FB2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B50FB2" w:rsidTr="00A138E9">
        <w:trPr>
          <w:trHeight w:val="133"/>
        </w:trPr>
        <w:tc>
          <w:tcPr>
            <w:tcW w:w="683" w:type="dxa"/>
            <w:vMerge w:val="restart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Наименование показателей 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B50FB2" w:rsidRDefault="00B50FB2" w:rsidP="00A138E9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B50FB2" w:rsidRPr="006A2D56" w:rsidRDefault="005A26CC" w:rsidP="00A138E9">
            <w:pPr>
              <w:pStyle w:val="Default"/>
              <w:ind w:left="-42" w:right="-2"/>
              <w:jc w:val="center"/>
            </w:pPr>
            <w:r>
              <w:t>ю</w:t>
            </w:r>
            <w:r w:rsidR="00B50FB2">
              <w:t>ридических лиц</w:t>
            </w:r>
          </w:p>
        </w:tc>
        <w:tc>
          <w:tcPr>
            <w:tcW w:w="2108" w:type="dxa"/>
          </w:tcPr>
          <w:p w:rsidR="00B50FB2" w:rsidRPr="006A2D56" w:rsidRDefault="005A26CC" w:rsidP="00A138E9">
            <w:pPr>
              <w:pStyle w:val="Default"/>
              <w:ind w:left="-42" w:right="-2"/>
              <w:jc w:val="center"/>
            </w:pPr>
            <w:r>
              <w:t>и</w:t>
            </w:r>
            <w:r w:rsidR="00B50FB2">
              <w:t>ндивидуальных предпринимателей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B50FB2" w:rsidRPr="006A2D56" w:rsidRDefault="00B50FB2" w:rsidP="005A26CC">
            <w:pPr>
              <w:pStyle w:val="Default"/>
              <w:ind w:left="-42" w:right="-2"/>
              <w:jc w:val="both"/>
            </w:pPr>
            <w:r>
              <w:t>34,</w:t>
            </w:r>
            <w:r w:rsidR="005A26CC">
              <w:t>67</w:t>
            </w:r>
          </w:p>
        </w:tc>
        <w:tc>
          <w:tcPr>
            <w:tcW w:w="1796" w:type="dxa"/>
          </w:tcPr>
          <w:p w:rsidR="00B50FB2" w:rsidRPr="006A2D56" w:rsidRDefault="00B50FB2" w:rsidP="005A26CC">
            <w:pPr>
              <w:pStyle w:val="Default"/>
              <w:ind w:left="-42" w:right="-2"/>
              <w:jc w:val="center"/>
            </w:pPr>
            <w:r>
              <w:t>1</w:t>
            </w:r>
            <w:r w:rsidR="005A26CC">
              <w:t>7</w:t>
            </w:r>
          </w:p>
        </w:tc>
        <w:tc>
          <w:tcPr>
            <w:tcW w:w="2108" w:type="dxa"/>
          </w:tcPr>
          <w:p w:rsidR="00B50FB2" w:rsidRPr="006A2D56" w:rsidRDefault="00B50FB2" w:rsidP="005A26CC">
            <w:pPr>
              <w:pStyle w:val="Default"/>
              <w:ind w:left="-42" w:right="-2"/>
              <w:jc w:val="center"/>
            </w:pPr>
            <w:r>
              <w:t>1</w:t>
            </w:r>
            <w:r w:rsidR="005A26CC">
              <w:t>39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Сельское хозяйство</w:t>
            </w:r>
            <w:r w:rsidR="005A26CC">
              <w:t xml:space="preserve"> </w:t>
            </w:r>
          </w:p>
        </w:tc>
        <w:tc>
          <w:tcPr>
            <w:tcW w:w="876" w:type="dxa"/>
          </w:tcPr>
          <w:p w:rsidR="00B50FB2" w:rsidRPr="006A2D56" w:rsidRDefault="00B50FB2" w:rsidP="005A26CC">
            <w:pPr>
              <w:pStyle w:val="Default"/>
              <w:ind w:left="-42" w:right="-2"/>
              <w:jc w:val="both"/>
            </w:pPr>
            <w:r>
              <w:t>1</w:t>
            </w:r>
            <w:r w:rsidR="005A26CC">
              <w:t>4,22</w:t>
            </w:r>
          </w:p>
        </w:tc>
        <w:tc>
          <w:tcPr>
            <w:tcW w:w="1796" w:type="dxa"/>
          </w:tcPr>
          <w:p w:rsidR="00B50FB2" w:rsidRPr="006A2D56" w:rsidRDefault="00B50FB2" w:rsidP="005A26CC">
            <w:pPr>
              <w:pStyle w:val="Default"/>
              <w:ind w:left="-42" w:right="-2"/>
              <w:jc w:val="center"/>
            </w:pPr>
            <w:r>
              <w:t>1</w:t>
            </w:r>
            <w:r w:rsidR="005A26CC">
              <w:t>1</w:t>
            </w:r>
          </w:p>
        </w:tc>
        <w:tc>
          <w:tcPr>
            <w:tcW w:w="2108" w:type="dxa"/>
          </w:tcPr>
          <w:p w:rsidR="00B50FB2" w:rsidRPr="006A2D56" w:rsidRDefault="00B50FB2" w:rsidP="005A26CC">
            <w:pPr>
              <w:pStyle w:val="Default"/>
              <w:ind w:left="-42" w:right="-2"/>
              <w:jc w:val="center"/>
            </w:pPr>
            <w:r>
              <w:t>5</w:t>
            </w:r>
            <w:r w:rsidR="005A26CC">
              <w:t>3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B50FB2" w:rsidRPr="006A2D56" w:rsidRDefault="00B50FB2" w:rsidP="00B50FB2">
            <w:pPr>
              <w:pStyle w:val="Default"/>
              <w:ind w:left="-42" w:right="-2"/>
              <w:jc w:val="both"/>
            </w:pPr>
            <w:r>
              <w:t>Транспортные услуги</w:t>
            </w:r>
          </w:p>
        </w:tc>
        <w:tc>
          <w:tcPr>
            <w:tcW w:w="876" w:type="dxa"/>
          </w:tcPr>
          <w:p w:rsidR="00B50FB2" w:rsidRPr="006A2D56" w:rsidRDefault="00B50FB2" w:rsidP="005A26CC">
            <w:pPr>
              <w:pStyle w:val="Default"/>
              <w:ind w:left="-42" w:right="-2"/>
              <w:jc w:val="both"/>
            </w:pPr>
            <w:r>
              <w:t>1</w:t>
            </w:r>
            <w:r w:rsidR="005A26CC">
              <w:t>5</w:t>
            </w:r>
            <w:r>
              <w:t>,</w:t>
            </w:r>
            <w:r w:rsidR="005A26CC">
              <w:t>11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B50FB2" w:rsidRPr="006A2D56" w:rsidRDefault="005A26CC" w:rsidP="00A138E9">
            <w:pPr>
              <w:pStyle w:val="Default"/>
              <w:ind w:left="-42" w:right="-2"/>
              <w:jc w:val="center"/>
            </w:pPr>
            <w:r>
              <w:t>64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B50FB2" w:rsidRPr="006A2D56" w:rsidRDefault="00703738" w:rsidP="00A138E9">
            <w:pPr>
              <w:pStyle w:val="Default"/>
              <w:ind w:left="-42" w:right="-2"/>
              <w:jc w:val="both"/>
            </w:pPr>
            <w:r>
              <w:t>7,56</w:t>
            </w:r>
          </w:p>
        </w:tc>
        <w:tc>
          <w:tcPr>
            <w:tcW w:w="1796" w:type="dxa"/>
          </w:tcPr>
          <w:p w:rsidR="00B50FB2" w:rsidRPr="006A2D56" w:rsidRDefault="00B50FB2" w:rsidP="00703738">
            <w:pPr>
              <w:pStyle w:val="Default"/>
              <w:ind w:left="-42" w:right="-2"/>
              <w:jc w:val="center"/>
            </w:pPr>
            <w:r>
              <w:t>1</w:t>
            </w:r>
            <w:r w:rsidR="00703738">
              <w:t>2</w:t>
            </w:r>
          </w:p>
        </w:tc>
        <w:tc>
          <w:tcPr>
            <w:tcW w:w="2108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22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B50FB2" w:rsidRPr="006A2D56" w:rsidRDefault="00B50FB2" w:rsidP="00703738">
            <w:pPr>
              <w:pStyle w:val="Default"/>
              <w:ind w:left="-42" w:right="-2"/>
              <w:jc w:val="both"/>
            </w:pPr>
            <w:r>
              <w:t>7,</w:t>
            </w:r>
            <w:r w:rsidR="00703738">
              <w:t>11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B50FB2" w:rsidRPr="006A2D56" w:rsidRDefault="00B50FB2" w:rsidP="003F4E04">
            <w:pPr>
              <w:pStyle w:val="Default"/>
              <w:ind w:left="-42" w:right="-2"/>
              <w:jc w:val="center"/>
            </w:pPr>
            <w:r>
              <w:t>2</w:t>
            </w:r>
            <w:r w:rsidR="003F4E04">
              <w:t>8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B50FB2" w:rsidRPr="006A2D56" w:rsidRDefault="00703738" w:rsidP="00A138E9">
            <w:pPr>
              <w:pStyle w:val="Default"/>
              <w:ind w:left="-42" w:right="-2"/>
              <w:jc w:val="both"/>
            </w:pPr>
            <w:r>
              <w:t>4,22</w:t>
            </w:r>
          </w:p>
        </w:tc>
        <w:tc>
          <w:tcPr>
            <w:tcW w:w="1796" w:type="dxa"/>
          </w:tcPr>
          <w:p w:rsidR="00B50FB2" w:rsidRPr="006A2D56" w:rsidRDefault="00703738" w:rsidP="00A138E9">
            <w:pPr>
              <w:pStyle w:val="Default"/>
              <w:ind w:left="-42" w:right="-2"/>
              <w:jc w:val="center"/>
            </w:pPr>
            <w:r>
              <w:t>7</w:t>
            </w:r>
          </w:p>
        </w:tc>
        <w:tc>
          <w:tcPr>
            <w:tcW w:w="2108" w:type="dxa"/>
          </w:tcPr>
          <w:p w:rsidR="00B50FB2" w:rsidRPr="006A2D56" w:rsidRDefault="00B50FB2" w:rsidP="003F4E04">
            <w:pPr>
              <w:pStyle w:val="Default"/>
              <w:ind w:left="-42" w:right="-2"/>
              <w:jc w:val="center"/>
            </w:pPr>
            <w:r>
              <w:t>1</w:t>
            </w:r>
            <w:r w:rsidR="003F4E04">
              <w:t>2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Default="00B50FB2" w:rsidP="00A138E9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B50FB2" w:rsidRPr="00C53683" w:rsidRDefault="00B50FB2" w:rsidP="00A138E9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B50FB2" w:rsidRPr="006A2D56" w:rsidRDefault="003F4E04" w:rsidP="00703738">
            <w:pPr>
              <w:pStyle w:val="Default"/>
              <w:ind w:left="-42" w:right="-2"/>
              <w:jc w:val="both"/>
            </w:pPr>
            <w:r>
              <w:t>17,</w:t>
            </w:r>
            <w:r w:rsidR="00703738">
              <w:t>11</w:t>
            </w:r>
          </w:p>
        </w:tc>
        <w:tc>
          <w:tcPr>
            <w:tcW w:w="1796" w:type="dxa"/>
          </w:tcPr>
          <w:p w:rsidR="00B50FB2" w:rsidRPr="006A2D56" w:rsidRDefault="00B50FB2" w:rsidP="00703738">
            <w:pPr>
              <w:pStyle w:val="Default"/>
              <w:ind w:left="-42" w:right="-2"/>
              <w:jc w:val="center"/>
            </w:pPr>
            <w:r>
              <w:t>1</w:t>
            </w:r>
            <w:r w:rsidR="00703738">
              <w:t>3</w:t>
            </w:r>
          </w:p>
        </w:tc>
        <w:tc>
          <w:tcPr>
            <w:tcW w:w="2108" w:type="dxa"/>
          </w:tcPr>
          <w:p w:rsidR="00B50FB2" w:rsidRPr="006A2D56" w:rsidRDefault="003F4E04" w:rsidP="00703738">
            <w:pPr>
              <w:pStyle w:val="Default"/>
              <w:ind w:left="-42" w:right="-2"/>
              <w:jc w:val="center"/>
            </w:pPr>
            <w:r>
              <w:t>6</w:t>
            </w:r>
            <w:r w:rsidR="00703738">
              <w:t>4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B50FB2" w:rsidRPr="006A2D56" w:rsidRDefault="003F4E04" w:rsidP="00A138E9">
            <w:pPr>
              <w:pStyle w:val="Default"/>
              <w:ind w:left="-42" w:right="-2"/>
              <w:jc w:val="center"/>
            </w:pPr>
            <w:r>
              <w:t>68</w:t>
            </w:r>
          </w:p>
        </w:tc>
        <w:tc>
          <w:tcPr>
            <w:tcW w:w="2108" w:type="dxa"/>
          </w:tcPr>
          <w:p w:rsidR="00B50FB2" w:rsidRPr="006A2D56" w:rsidRDefault="00B50FB2" w:rsidP="00703738">
            <w:pPr>
              <w:pStyle w:val="Default"/>
              <w:ind w:left="-42" w:right="-2"/>
              <w:jc w:val="center"/>
            </w:pPr>
            <w:r>
              <w:t>3</w:t>
            </w:r>
            <w:r w:rsidR="00703738">
              <w:t>82</w:t>
            </w:r>
          </w:p>
        </w:tc>
      </w:tr>
    </w:tbl>
    <w:p w:rsidR="00B50FB2" w:rsidRPr="00B50FB2" w:rsidRDefault="00B50FB2" w:rsidP="00B50FB2">
      <w:pPr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3683">
        <w:rPr>
          <w:color w:val="000000"/>
          <w:sz w:val="24"/>
          <w:szCs w:val="24"/>
        </w:rPr>
        <w:t>*</w:t>
      </w:r>
      <w:r w:rsidRPr="00C53683">
        <w:rPr>
          <w:sz w:val="24"/>
          <w:szCs w:val="24"/>
        </w:rPr>
        <w:t xml:space="preserve"> </w:t>
      </w:r>
      <w:r w:rsidRPr="00B50FB2">
        <w:rPr>
          <w:rFonts w:ascii="Times New Roman" w:hAnsi="Times New Roman" w:cs="Times New Roman"/>
          <w:sz w:val="24"/>
          <w:szCs w:val="24"/>
        </w:rPr>
        <w:t xml:space="preserve">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0FB2">
        <w:rPr>
          <w:rFonts w:ascii="Times New Roman" w:hAnsi="Times New Roman" w:cs="Times New Roman"/>
          <w:sz w:val="24"/>
          <w:szCs w:val="24"/>
        </w:rPr>
        <w:t>.</w:t>
      </w:r>
    </w:p>
    <w:p w:rsidR="002A1E8B" w:rsidRDefault="00591D1B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Кроме того, п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>о состоянию на 01.01.202</w:t>
      </w:r>
      <w:r w:rsidR="00703738">
        <w:rPr>
          <w:rFonts w:ascii="Times New Roman CYR" w:hAnsi="Times New Roman CYR" w:cs="Times New Roman CYR"/>
          <w:sz w:val="27"/>
          <w:szCs w:val="27"/>
        </w:rPr>
        <w:t>4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года в Манском районе зарегистрировано </w:t>
      </w:r>
      <w:r w:rsidR="00F3706D" w:rsidRPr="00E834FE">
        <w:rPr>
          <w:rFonts w:ascii="Times New Roman CYR" w:hAnsi="Times New Roman CYR" w:cs="Times New Roman CYR"/>
          <w:sz w:val="27"/>
          <w:szCs w:val="27"/>
        </w:rPr>
        <w:t>более 400</w:t>
      </w:r>
      <w:r w:rsidR="00661852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физических лиц, применяющих специальный налоговый режим «Налог на профессиональный доход». </w:t>
      </w:r>
    </w:p>
    <w:p w:rsidR="00B703D9" w:rsidRPr="00E834FE" w:rsidRDefault="00B703D9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В 2023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организаций составила 47.92%.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 xml:space="preserve">Этот показатель по сравнению с 2022 годом увеличился на 0,7 </w:t>
      </w:r>
      <w:r w:rsidR="008C2E0E">
        <w:rPr>
          <w:rFonts w:ascii="Times New Roman CYR" w:hAnsi="Times New Roman CYR" w:cs="Times New Roman CYR"/>
          <w:sz w:val="27"/>
          <w:szCs w:val="27"/>
        </w:rPr>
        <w:t xml:space="preserve">процентных </w:t>
      </w:r>
      <w:r>
        <w:rPr>
          <w:rFonts w:ascii="Times New Roman CYR" w:hAnsi="Times New Roman CYR" w:cs="Times New Roman CYR"/>
          <w:sz w:val="27"/>
          <w:szCs w:val="27"/>
        </w:rPr>
        <w:t>пунктов в связи с увеличением количества индивидуальных предпринимателей, уменьшением среднесписочной численности работников крупных и средних предприятий и некоммерческих организаций.</w:t>
      </w:r>
      <w:proofErr w:type="gramEnd"/>
      <w:r w:rsidR="008C2E0E">
        <w:rPr>
          <w:rFonts w:ascii="Times New Roman CYR" w:hAnsi="Times New Roman CYR" w:cs="Times New Roman CYR"/>
          <w:sz w:val="27"/>
          <w:szCs w:val="27"/>
        </w:rPr>
        <w:t xml:space="preserve"> Уменьшение среднесписочной численности работников </w:t>
      </w:r>
      <w:r w:rsidR="00B41227">
        <w:rPr>
          <w:rFonts w:ascii="Times New Roman CYR" w:hAnsi="Times New Roman CYR" w:cs="Times New Roman CYR"/>
          <w:sz w:val="27"/>
          <w:szCs w:val="27"/>
        </w:rPr>
        <w:t>всех организаций связано с прогнозным уменьшением численности постоянного населения Манского района.</w:t>
      </w:r>
    </w:p>
    <w:p w:rsidR="00AF33AD" w:rsidRDefault="001E75FA" w:rsidP="00AF33AD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Среднесписочная численность работников организаций малого бизнеса в 20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703738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а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8</w:t>
      </w:r>
      <w:r w:rsidR="00703738">
        <w:rPr>
          <w:rFonts w:ascii="Times New Roman CYR" w:hAnsi="Times New Roman CYR" w:cs="Times New Roman CYR"/>
          <w:sz w:val="27"/>
          <w:szCs w:val="27"/>
        </w:rPr>
        <w:t>28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чел</w:t>
      </w:r>
      <w:r w:rsidR="00293664">
        <w:rPr>
          <w:rFonts w:ascii="Times New Roman CYR" w:hAnsi="Times New Roman CYR" w:cs="Times New Roman CYR"/>
          <w:sz w:val="27"/>
          <w:szCs w:val="27"/>
        </w:rPr>
        <w:t>овек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, в 202</w:t>
      </w:r>
      <w:r w:rsidR="00703738">
        <w:rPr>
          <w:rFonts w:ascii="Times New Roman CYR" w:hAnsi="Times New Roman CYR" w:cs="Times New Roman CYR"/>
          <w:sz w:val="27"/>
          <w:szCs w:val="27"/>
        </w:rPr>
        <w:t>2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 xml:space="preserve"> году – </w:t>
      </w:r>
      <w:r w:rsidR="00703738">
        <w:rPr>
          <w:rFonts w:ascii="Times New Roman CYR" w:hAnsi="Times New Roman CYR" w:cs="Times New Roman CYR"/>
          <w:sz w:val="27"/>
          <w:szCs w:val="27"/>
        </w:rPr>
        <w:t>864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 xml:space="preserve"> чел</w:t>
      </w:r>
      <w:r w:rsidR="00293664">
        <w:rPr>
          <w:rFonts w:ascii="Times New Roman CYR" w:hAnsi="Times New Roman CYR" w:cs="Times New Roman CYR"/>
          <w:sz w:val="27"/>
          <w:szCs w:val="27"/>
        </w:rPr>
        <w:t>овека.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703738">
        <w:rPr>
          <w:rFonts w:ascii="Times New Roman CYR" w:hAnsi="Times New Roman CYR" w:cs="Times New Roman CYR"/>
          <w:sz w:val="27"/>
          <w:szCs w:val="27"/>
        </w:rPr>
        <w:t>Уменьш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 xml:space="preserve">ение среднесписочной численности работников </w:t>
      </w:r>
      <w:r w:rsidR="001F3BBA">
        <w:rPr>
          <w:rFonts w:ascii="Times New Roman CYR" w:hAnsi="Times New Roman CYR" w:cs="Times New Roman CYR"/>
          <w:sz w:val="27"/>
          <w:szCs w:val="27"/>
        </w:rPr>
        <w:t xml:space="preserve">связано со снижением численности населения Манского района, </w:t>
      </w:r>
      <w:r w:rsidR="003A16FC">
        <w:rPr>
          <w:rFonts w:ascii="Times New Roman CYR" w:hAnsi="Times New Roman CYR" w:cs="Times New Roman CYR"/>
          <w:sz w:val="27"/>
          <w:szCs w:val="27"/>
        </w:rPr>
        <w:t>переходом</w:t>
      </w:r>
      <w:r w:rsidR="00AF33AD">
        <w:rPr>
          <w:rFonts w:ascii="Times New Roman CYR" w:hAnsi="Times New Roman CYR" w:cs="Times New Roman CYR"/>
          <w:sz w:val="27"/>
          <w:szCs w:val="27"/>
        </w:rPr>
        <w:t xml:space="preserve"> работ</w:t>
      </w:r>
      <w:r w:rsidR="003A16FC">
        <w:rPr>
          <w:rFonts w:ascii="Times New Roman CYR" w:hAnsi="Times New Roman CYR" w:cs="Times New Roman CYR"/>
          <w:sz w:val="27"/>
          <w:szCs w:val="27"/>
        </w:rPr>
        <w:t>ающих из</w:t>
      </w:r>
      <w:r w:rsidR="00AF33AD">
        <w:rPr>
          <w:rFonts w:ascii="Times New Roman CYR" w:hAnsi="Times New Roman CYR" w:cs="Times New Roman CYR"/>
          <w:sz w:val="27"/>
          <w:szCs w:val="27"/>
        </w:rPr>
        <w:t xml:space="preserve"> статуса «наемный работник» </w:t>
      </w:r>
      <w:r w:rsidR="003A16FC">
        <w:rPr>
          <w:rFonts w:ascii="Times New Roman CYR" w:hAnsi="Times New Roman CYR" w:cs="Times New Roman CYR"/>
          <w:sz w:val="27"/>
          <w:szCs w:val="27"/>
        </w:rPr>
        <w:t>в</w:t>
      </w:r>
      <w:r w:rsidR="00AF33AD">
        <w:rPr>
          <w:rFonts w:ascii="Times New Roman CYR" w:hAnsi="Times New Roman CYR" w:cs="Times New Roman CYR"/>
          <w:sz w:val="27"/>
          <w:szCs w:val="27"/>
        </w:rPr>
        <w:t xml:space="preserve"> статус физического лица, применяющего специальный налоговый режим «Налог на профессиональный доход»</w:t>
      </w:r>
      <w:r w:rsidR="007D4C6A">
        <w:rPr>
          <w:rFonts w:ascii="Times New Roman CYR" w:hAnsi="Times New Roman CYR" w:cs="Times New Roman CYR"/>
          <w:sz w:val="27"/>
          <w:szCs w:val="27"/>
        </w:rPr>
        <w:t xml:space="preserve"> (</w:t>
      </w:r>
      <w:r w:rsidR="00721CE7">
        <w:rPr>
          <w:rFonts w:ascii="Times New Roman CYR" w:hAnsi="Times New Roman CYR" w:cs="Times New Roman CYR"/>
          <w:sz w:val="27"/>
          <w:szCs w:val="27"/>
        </w:rPr>
        <w:t xml:space="preserve">далее - </w:t>
      </w:r>
      <w:r w:rsidR="007D4C6A">
        <w:rPr>
          <w:rFonts w:ascii="Times New Roman CYR" w:hAnsi="Times New Roman CYR" w:cs="Times New Roman CYR"/>
          <w:sz w:val="27"/>
          <w:szCs w:val="27"/>
        </w:rPr>
        <w:t xml:space="preserve">самозанятые граждане) либо </w:t>
      </w:r>
      <w:r w:rsidR="003A16FC">
        <w:rPr>
          <w:rFonts w:ascii="Times New Roman CYR" w:hAnsi="Times New Roman CYR" w:cs="Times New Roman CYR"/>
          <w:sz w:val="27"/>
          <w:szCs w:val="27"/>
        </w:rPr>
        <w:t>в</w:t>
      </w:r>
      <w:r w:rsidR="007D4C6A">
        <w:rPr>
          <w:rFonts w:ascii="Times New Roman CYR" w:hAnsi="Times New Roman CYR" w:cs="Times New Roman CYR"/>
          <w:sz w:val="27"/>
          <w:szCs w:val="27"/>
        </w:rPr>
        <w:t xml:space="preserve"> статус индивидуальн</w:t>
      </w:r>
      <w:r w:rsidR="006A370C">
        <w:rPr>
          <w:rFonts w:ascii="Times New Roman CYR" w:hAnsi="Times New Roman CYR" w:cs="Times New Roman CYR"/>
          <w:sz w:val="27"/>
          <w:szCs w:val="27"/>
        </w:rPr>
        <w:t>ого</w:t>
      </w:r>
      <w:r w:rsidR="007D4C6A">
        <w:rPr>
          <w:rFonts w:ascii="Times New Roman CYR" w:hAnsi="Times New Roman CYR" w:cs="Times New Roman CYR"/>
          <w:sz w:val="27"/>
          <w:szCs w:val="27"/>
        </w:rPr>
        <w:t xml:space="preserve"> предпринимател</w:t>
      </w:r>
      <w:r w:rsidR="006A370C">
        <w:rPr>
          <w:rFonts w:ascii="Times New Roman CYR" w:hAnsi="Times New Roman CYR" w:cs="Times New Roman CYR"/>
          <w:sz w:val="27"/>
          <w:szCs w:val="27"/>
        </w:rPr>
        <w:t>я</w:t>
      </w:r>
      <w:r w:rsidR="007D4C6A">
        <w:rPr>
          <w:rFonts w:ascii="Times New Roman CYR" w:hAnsi="Times New Roman CYR" w:cs="Times New Roman CYR"/>
          <w:sz w:val="27"/>
          <w:szCs w:val="27"/>
        </w:rPr>
        <w:t>.</w:t>
      </w:r>
      <w:r w:rsidR="003A16FC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Основное количество работающих в организациях малого бизнеса - это  сельское и лесное хозяйство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(раздел</w:t>
      </w:r>
      <w:proofErr w:type="gramStart"/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А</w:t>
      </w:r>
      <w:proofErr w:type="gramEnd"/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C50459" w:rsidRPr="00E834FE">
        <w:rPr>
          <w:rFonts w:ascii="Times New Roman CYR" w:hAnsi="Times New Roman CYR" w:cs="Times New Roman CYR"/>
          <w:sz w:val="27"/>
          <w:szCs w:val="27"/>
        </w:rPr>
        <w:t>по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ОКВЭД 2)</w:t>
      </w:r>
      <w:r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 xml:space="preserve"> обрабатывающие производства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(раздел С)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,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их доля составляет более </w:t>
      </w:r>
      <w:r w:rsidR="007A3314">
        <w:rPr>
          <w:rFonts w:ascii="Times New Roman CYR" w:hAnsi="Times New Roman CYR" w:cs="Times New Roman CYR"/>
          <w:sz w:val="27"/>
          <w:szCs w:val="27"/>
        </w:rPr>
        <w:t>6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0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>% от общей численности, занятых в предприятиях малого бизнеса.</w:t>
      </w:r>
    </w:p>
    <w:p w:rsidR="001E75FA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Среднесписочная численность работников у индивидуальных предпринимателей в 20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7A3314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5</w:t>
      </w:r>
      <w:r w:rsidR="007A3314">
        <w:rPr>
          <w:rFonts w:ascii="Times New Roman CYR" w:hAnsi="Times New Roman CYR" w:cs="Times New Roman CYR"/>
          <w:sz w:val="27"/>
          <w:szCs w:val="27"/>
        </w:rPr>
        <w:t>56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чел</w:t>
      </w:r>
      <w:r w:rsidR="00293664">
        <w:rPr>
          <w:rFonts w:ascii="Times New Roman CYR" w:hAnsi="Times New Roman CYR" w:cs="Times New Roman CYR"/>
          <w:sz w:val="27"/>
          <w:szCs w:val="27"/>
        </w:rPr>
        <w:t>овек, в 2022 году – 570 человек. Этот показатель с каждым годом будет уменьшаться в связи с ежегодным уменьшением численности постоянного населения Манского района, увеличением числа индивидуаль</w:t>
      </w:r>
      <w:r w:rsidR="00474AA8">
        <w:rPr>
          <w:rFonts w:ascii="Times New Roman CYR" w:hAnsi="Times New Roman CYR" w:cs="Times New Roman CYR"/>
          <w:sz w:val="27"/>
          <w:szCs w:val="27"/>
        </w:rPr>
        <w:t>ных предпринимателей и самозанятых граждан.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Среднемесячная заработная плата работников малых предприятий в 20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7A3314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</w:t>
      </w:r>
      <w:r w:rsidR="006A370C">
        <w:rPr>
          <w:rFonts w:ascii="Times New Roman CYR" w:hAnsi="Times New Roman CYR" w:cs="Times New Roman CYR"/>
          <w:sz w:val="27"/>
          <w:szCs w:val="27"/>
        </w:rPr>
        <w:t>34803,82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руб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  <w:r w:rsidRPr="00E834FE">
        <w:rPr>
          <w:rFonts w:ascii="Times New Roman CYR" w:hAnsi="Times New Roman CYR" w:cs="Times New Roman CYR"/>
          <w:sz w:val="27"/>
          <w:szCs w:val="27"/>
        </w:rPr>
        <w:t>Среднемесячная заработная плата наемных работников индивидуальных предпринимателей в 20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7A3314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</w:t>
      </w:r>
      <w:r w:rsidR="006A370C">
        <w:rPr>
          <w:rFonts w:ascii="Times New Roman CYR" w:hAnsi="Times New Roman CYR" w:cs="Times New Roman CYR"/>
          <w:sz w:val="27"/>
          <w:szCs w:val="27"/>
        </w:rPr>
        <w:t>32011,50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руб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.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Эти показатели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больше по сравнению со среднемесячной заработной платой 20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7A3314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года. Увеличение заработной платы </w:t>
      </w:r>
      <w:r w:rsidR="006A370C">
        <w:rPr>
          <w:rFonts w:ascii="Times New Roman CYR" w:hAnsi="Times New Roman CYR" w:cs="Times New Roman CYR"/>
          <w:sz w:val="27"/>
          <w:szCs w:val="27"/>
        </w:rPr>
        <w:t>обусловлено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>повы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шени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ем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 минимального </w:t>
      </w:r>
      <w:proofErr w:type="gramStart"/>
      <w:r w:rsidR="00EE73E5" w:rsidRPr="00E834FE">
        <w:rPr>
          <w:rFonts w:ascii="Times New Roman CYR" w:hAnsi="Times New Roman CYR" w:cs="Times New Roman CYR"/>
          <w:sz w:val="27"/>
          <w:szCs w:val="27"/>
        </w:rPr>
        <w:t>размера оплаты труда</w:t>
      </w:r>
      <w:proofErr w:type="gramEnd"/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 (далее –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МРОТ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)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 xml:space="preserve"> в 202</w:t>
      </w:r>
      <w:r w:rsidR="007A3314">
        <w:rPr>
          <w:rFonts w:ascii="Times New Roman CYR" w:hAnsi="Times New Roman CYR" w:cs="Times New Roman CYR"/>
          <w:sz w:val="27"/>
          <w:szCs w:val="27"/>
        </w:rPr>
        <w:t>3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 xml:space="preserve"> году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</w:p>
    <w:p w:rsidR="001E75FA" w:rsidRPr="00E834FE" w:rsidRDefault="00E86F0B" w:rsidP="00E86F0B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Субъекты малого и среднего предпринимательства категории «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>Среднее предпринимательство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»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01.01.202</w:t>
      </w:r>
      <w:r w:rsidR="00CD4493">
        <w:rPr>
          <w:rFonts w:ascii="Times New Roman CYR" w:hAnsi="Times New Roman CYR" w:cs="Times New Roman CYR"/>
          <w:color w:val="000000"/>
          <w:sz w:val="27"/>
          <w:szCs w:val="27"/>
        </w:rPr>
        <w:t>4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года в Манском районе 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отсутствуют.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В целях поддержки субъектов малого и среднего предпринимательства в районе </w:t>
      </w:r>
      <w:r w:rsidR="006A370C">
        <w:rPr>
          <w:rFonts w:ascii="Times New Roman CYR" w:hAnsi="Times New Roman CYR" w:cs="Times New Roman CYR"/>
          <w:sz w:val="27"/>
          <w:szCs w:val="27"/>
        </w:rPr>
        <w:t xml:space="preserve">постановлением администрации Манского района от 28.10.2022 № 712 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утверждена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муниципальная программа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</w:t>
      </w:r>
      <w:r w:rsidR="009B7D53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CD4493">
        <w:rPr>
          <w:rFonts w:ascii="Times New Roman CYR" w:hAnsi="Times New Roman CYR" w:cs="Times New Roman CYR"/>
          <w:sz w:val="27"/>
          <w:szCs w:val="27"/>
        </w:rPr>
        <w:t>3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 год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и плановый период 202</w:t>
      </w:r>
      <w:r w:rsidR="00CD4493">
        <w:rPr>
          <w:rFonts w:ascii="Times New Roman CYR" w:hAnsi="Times New Roman CYR" w:cs="Times New Roman CYR"/>
          <w:sz w:val="27"/>
          <w:szCs w:val="27"/>
        </w:rPr>
        <w:t>4</w:t>
      </w:r>
      <w:r w:rsidRPr="00E834FE">
        <w:rPr>
          <w:rFonts w:ascii="Times New Roman CYR" w:hAnsi="Times New Roman CYR" w:cs="Times New Roman CYR"/>
          <w:sz w:val="27"/>
          <w:szCs w:val="27"/>
        </w:rPr>
        <w:t>-202</w:t>
      </w:r>
      <w:r w:rsidR="00CD4493">
        <w:rPr>
          <w:rFonts w:ascii="Times New Roman CYR" w:hAnsi="Times New Roman CYR" w:cs="Times New Roman CYR"/>
          <w:sz w:val="27"/>
          <w:szCs w:val="27"/>
        </w:rPr>
        <w:t>5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6A370C">
        <w:rPr>
          <w:rFonts w:ascii="Times New Roman CYR" w:hAnsi="Times New Roman CYR" w:cs="Times New Roman CYR"/>
          <w:sz w:val="27"/>
          <w:szCs w:val="27"/>
        </w:rPr>
        <w:t>годов.</w:t>
      </w:r>
    </w:p>
    <w:p w:rsidR="00721CE7" w:rsidRDefault="001E75FA" w:rsidP="002C11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721CE7">
        <w:rPr>
          <w:rFonts w:ascii="Times New Roman CYR" w:hAnsi="Times New Roman CYR" w:cs="Times New Roman CYR"/>
          <w:color w:val="000000"/>
          <w:sz w:val="27"/>
          <w:szCs w:val="27"/>
        </w:rPr>
        <w:t>В 20</w:t>
      </w:r>
      <w:r w:rsidR="00F05C18" w:rsidRPr="00721CE7">
        <w:rPr>
          <w:rFonts w:ascii="Times New Roman CYR" w:hAnsi="Times New Roman CYR" w:cs="Times New Roman CYR"/>
          <w:color w:val="000000"/>
          <w:sz w:val="27"/>
          <w:szCs w:val="27"/>
        </w:rPr>
        <w:t>2</w:t>
      </w:r>
      <w:r w:rsidR="00CD4493" w:rsidRPr="00721CE7">
        <w:rPr>
          <w:rFonts w:ascii="Times New Roman CYR" w:hAnsi="Times New Roman CYR" w:cs="Times New Roman CYR"/>
          <w:color w:val="000000"/>
          <w:sz w:val="27"/>
          <w:szCs w:val="27"/>
        </w:rPr>
        <w:t>3</w:t>
      </w:r>
      <w:r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году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в рамках </w:t>
      </w:r>
      <w:r w:rsidR="00721CE7">
        <w:rPr>
          <w:rFonts w:ascii="Times New Roman CYR" w:hAnsi="Times New Roman CYR" w:cs="Times New Roman CYR"/>
          <w:color w:val="000000"/>
          <w:sz w:val="27"/>
          <w:szCs w:val="27"/>
        </w:rPr>
        <w:t>муниципальной программы была оказана финансовая поддержка субъектам МСП и самозанятым гражданам:</w:t>
      </w:r>
    </w:p>
    <w:p w:rsidR="001E75FA" w:rsidRDefault="00721CE7" w:rsidP="002C11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- с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>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–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3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-м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индивидуальным предпринимателям и 2-м самозанятым гражданам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на общую сумму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915,158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834FE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тыс.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руб., из них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средства краевого бюджета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869,400</w:t>
      </w:r>
      <w:r w:rsidR="00E834FE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тыс.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руб., средства местного бюджета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45,758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E834FE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тыс. </w:t>
      </w:r>
      <w:r w:rsidR="002A6350" w:rsidRPr="00721CE7">
        <w:rPr>
          <w:rFonts w:ascii="Times New Roman CYR" w:hAnsi="Times New Roman CYR" w:cs="Times New Roman CYR"/>
          <w:color w:val="000000"/>
          <w:sz w:val="27"/>
          <w:szCs w:val="27"/>
        </w:rPr>
        <w:t>руб.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;</w:t>
      </w:r>
      <w:proofErr w:type="gramEnd"/>
    </w:p>
    <w:p w:rsidR="001565AF" w:rsidRDefault="00721CE7" w:rsidP="001565AF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субсидии субъектам малого и среднего предпринимательства в виде </w:t>
      </w:r>
      <w:proofErr w:type="spellStart"/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грантовой</w:t>
      </w:r>
      <w:proofErr w:type="spellEnd"/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поддержки на начало ведения предпринимательской деятельности – </w:t>
      </w:r>
      <w:r w:rsidR="00D614C9">
        <w:rPr>
          <w:rFonts w:ascii="Times New Roman CYR" w:hAnsi="Times New Roman CYR" w:cs="Times New Roman CYR"/>
          <w:color w:val="000000"/>
          <w:sz w:val="27"/>
          <w:szCs w:val="27"/>
        </w:rPr>
        <w:t>1-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му индивидуальному предпринимателю на общую сумму 300 тыс. руб.,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из них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>средства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краевого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бюджета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285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тыс. руб., средства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>местного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бюджета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1565AF">
        <w:rPr>
          <w:rFonts w:ascii="Times New Roman CYR" w:hAnsi="Times New Roman CYR" w:cs="Times New Roman CYR"/>
          <w:color w:val="000000"/>
          <w:sz w:val="27"/>
          <w:szCs w:val="27"/>
        </w:rPr>
        <w:t>15</w:t>
      </w:r>
      <w:r w:rsidR="001565AF" w:rsidRPr="00721CE7">
        <w:rPr>
          <w:rFonts w:ascii="Times New Roman CYR" w:hAnsi="Times New Roman CYR" w:cs="Times New Roman CYR"/>
          <w:color w:val="000000"/>
          <w:sz w:val="27"/>
          <w:szCs w:val="27"/>
        </w:rPr>
        <w:t xml:space="preserve"> тыс. руб.</w:t>
      </w:r>
    </w:p>
    <w:p w:rsidR="001565AF" w:rsidRDefault="001565AF" w:rsidP="001565AF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Общая сумма поддержки 1215,158 тыс. руб. </w:t>
      </w:r>
      <w:r w:rsidR="00B043EA">
        <w:rPr>
          <w:rFonts w:ascii="Times New Roman CYR" w:hAnsi="Times New Roman CYR" w:cs="Times New Roman CYR"/>
          <w:color w:val="000000"/>
          <w:sz w:val="27"/>
          <w:szCs w:val="27"/>
        </w:rPr>
        <w:t xml:space="preserve">в 2023 году оказана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6-ти субъектам МСП и самозанятым гражданам.</w:t>
      </w:r>
    </w:p>
    <w:p w:rsidR="00B043EA" w:rsidRDefault="00474AA8" w:rsidP="00B043E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2024 году планируется </w:t>
      </w:r>
      <w:r w:rsidR="00B043EA">
        <w:rPr>
          <w:rFonts w:ascii="Times New Roman CYR" w:hAnsi="Times New Roman CYR" w:cs="Times New Roman CYR"/>
          <w:color w:val="000000"/>
          <w:sz w:val="27"/>
          <w:szCs w:val="27"/>
        </w:rPr>
        <w:t>финансовая поддержка субъектам МСП на возмещение затрат при осуществлении предпринимательской деятельности в общей сумме 1147,26 тыс. руб.</w:t>
      </w:r>
      <w:r w:rsidR="002C11E0" w:rsidRPr="00E834FE">
        <w:rPr>
          <w:rFonts w:ascii="Times New Roman" w:hAnsi="Times New Roman"/>
          <w:sz w:val="27"/>
          <w:szCs w:val="27"/>
        </w:rPr>
        <w:t xml:space="preserve">        </w:t>
      </w:r>
    </w:p>
    <w:p w:rsidR="002C11E0" w:rsidRPr="00E834FE" w:rsidRDefault="00B043EA" w:rsidP="00B043E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Манского района будет продолжать оказывать меры поддержки субъектам МСП и самозанятым гражданам с целью поддержания </w:t>
      </w:r>
      <w:r w:rsidR="00A24BBF">
        <w:rPr>
          <w:rFonts w:ascii="Times New Roman" w:hAnsi="Times New Roman"/>
          <w:sz w:val="27"/>
          <w:szCs w:val="27"/>
        </w:rPr>
        <w:t xml:space="preserve">и свободного развития </w:t>
      </w:r>
      <w:r>
        <w:rPr>
          <w:rFonts w:ascii="Times New Roman" w:hAnsi="Times New Roman"/>
          <w:sz w:val="27"/>
          <w:szCs w:val="27"/>
        </w:rPr>
        <w:t>бизнеса на территории Манского района</w:t>
      </w:r>
      <w:r w:rsidR="00A24BBF">
        <w:rPr>
          <w:rFonts w:ascii="Times New Roman" w:hAnsi="Times New Roman"/>
          <w:sz w:val="27"/>
          <w:szCs w:val="27"/>
        </w:rPr>
        <w:t xml:space="preserve">, увеличения численности </w:t>
      </w:r>
      <w:proofErr w:type="gramStart"/>
      <w:r w:rsidR="00A24BBF">
        <w:rPr>
          <w:rFonts w:ascii="Times New Roman" w:hAnsi="Times New Roman"/>
          <w:sz w:val="27"/>
          <w:szCs w:val="27"/>
        </w:rPr>
        <w:t>занятых</w:t>
      </w:r>
      <w:proofErr w:type="gramEnd"/>
      <w:r w:rsidR="00A24BBF">
        <w:rPr>
          <w:rFonts w:ascii="Times New Roman" w:hAnsi="Times New Roman"/>
          <w:sz w:val="27"/>
          <w:szCs w:val="27"/>
        </w:rPr>
        <w:t xml:space="preserve"> в секторе малого и среднего предпринимательства.</w:t>
      </w:r>
      <w:r w:rsidR="002C11E0" w:rsidRPr="00E834FE">
        <w:rPr>
          <w:rFonts w:ascii="Times New Roman" w:hAnsi="Times New Roman"/>
          <w:sz w:val="27"/>
          <w:szCs w:val="27"/>
        </w:rPr>
        <w:t xml:space="preserve">   </w:t>
      </w:r>
    </w:p>
    <w:p w:rsidR="002C11E0" w:rsidRPr="00E834FE" w:rsidRDefault="002C11E0" w:rsidP="002C11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MS Sans Serif" w:hAnsi="MS Sans Serif" w:cs="MS Sans Serif"/>
          <w:sz w:val="27"/>
          <w:szCs w:val="27"/>
        </w:rPr>
      </w:pPr>
    </w:p>
    <w:sectPr w:rsidR="002C11E0" w:rsidRPr="00E834FE" w:rsidSect="00487546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6DB5"/>
    <w:multiLevelType w:val="hybridMultilevel"/>
    <w:tmpl w:val="07C09C30"/>
    <w:lvl w:ilvl="0" w:tplc="EFF2D26C">
      <w:start w:val="11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FA"/>
    <w:rsid w:val="00003F15"/>
    <w:rsid w:val="00071007"/>
    <w:rsid w:val="00071490"/>
    <w:rsid w:val="000841D9"/>
    <w:rsid w:val="000B5BAB"/>
    <w:rsid w:val="00101E5A"/>
    <w:rsid w:val="001101CF"/>
    <w:rsid w:val="00112ECE"/>
    <w:rsid w:val="001565AF"/>
    <w:rsid w:val="001A57C4"/>
    <w:rsid w:val="001B43C0"/>
    <w:rsid w:val="001E182B"/>
    <w:rsid w:val="001E23CA"/>
    <w:rsid w:val="001E75FA"/>
    <w:rsid w:val="001F3BBA"/>
    <w:rsid w:val="0022447C"/>
    <w:rsid w:val="002362F4"/>
    <w:rsid w:val="00236FB8"/>
    <w:rsid w:val="002411F5"/>
    <w:rsid w:val="00293664"/>
    <w:rsid w:val="002A1E8B"/>
    <w:rsid w:val="002A6350"/>
    <w:rsid w:val="002C01D1"/>
    <w:rsid w:val="002C11E0"/>
    <w:rsid w:val="002D02E0"/>
    <w:rsid w:val="002D23BA"/>
    <w:rsid w:val="0031528B"/>
    <w:rsid w:val="00344E92"/>
    <w:rsid w:val="00386AA8"/>
    <w:rsid w:val="003A16FC"/>
    <w:rsid w:val="003A7014"/>
    <w:rsid w:val="003B19D4"/>
    <w:rsid w:val="003D0F7A"/>
    <w:rsid w:val="003D4549"/>
    <w:rsid w:val="003D55D1"/>
    <w:rsid w:val="003F4E04"/>
    <w:rsid w:val="00426C61"/>
    <w:rsid w:val="00474AA8"/>
    <w:rsid w:val="00487546"/>
    <w:rsid w:val="004A5C40"/>
    <w:rsid w:val="00520CAA"/>
    <w:rsid w:val="00521CCE"/>
    <w:rsid w:val="00544E37"/>
    <w:rsid w:val="00583D36"/>
    <w:rsid w:val="00591D1B"/>
    <w:rsid w:val="005A26CC"/>
    <w:rsid w:val="005D61FA"/>
    <w:rsid w:val="005E00F6"/>
    <w:rsid w:val="006111ED"/>
    <w:rsid w:val="00614D53"/>
    <w:rsid w:val="0063633C"/>
    <w:rsid w:val="0064121A"/>
    <w:rsid w:val="00644EDE"/>
    <w:rsid w:val="00661852"/>
    <w:rsid w:val="006A370C"/>
    <w:rsid w:val="006A4066"/>
    <w:rsid w:val="00701956"/>
    <w:rsid w:val="00703738"/>
    <w:rsid w:val="00712806"/>
    <w:rsid w:val="00721CE7"/>
    <w:rsid w:val="00725AD6"/>
    <w:rsid w:val="00773BE4"/>
    <w:rsid w:val="007A3314"/>
    <w:rsid w:val="007D4C6A"/>
    <w:rsid w:val="008C2E0E"/>
    <w:rsid w:val="008D0A8E"/>
    <w:rsid w:val="0090082D"/>
    <w:rsid w:val="00917CF2"/>
    <w:rsid w:val="00942139"/>
    <w:rsid w:val="0096795B"/>
    <w:rsid w:val="00976B7E"/>
    <w:rsid w:val="009B7D53"/>
    <w:rsid w:val="009C66EB"/>
    <w:rsid w:val="009E061D"/>
    <w:rsid w:val="009F5172"/>
    <w:rsid w:val="00A24BBF"/>
    <w:rsid w:val="00A9556A"/>
    <w:rsid w:val="00AF33AD"/>
    <w:rsid w:val="00B043EA"/>
    <w:rsid w:val="00B36D7F"/>
    <w:rsid w:val="00B41227"/>
    <w:rsid w:val="00B50FB2"/>
    <w:rsid w:val="00B60D87"/>
    <w:rsid w:val="00B703D9"/>
    <w:rsid w:val="00B765B3"/>
    <w:rsid w:val="00BD67B2"/>
    <w:rsid w:val="00BE2D11"/>
    <w:rsid w:val="00C16F00"/>
    <w:rsid w:val="00C50459"/>
    <w:rsid w:val="00C53F13"/>
    <w:rsid w:val="00CD38EA"/>
    <w:rsid w:val="00CD4493"/>
    <w:rsid w:val="00CE09CF"/>
    <w:rsid w:val="00CE3DCD"/>
    <w:rsid w:val="00D434BA"/>
    <w:rsid w:val="00D614C9"/>
    <w:rsid w:val="00D846BB"/>
    <w:rsid w:val="00DA52AC"/>
    <w:rsid w:val="00DA6396"/>
    <w:rsid w:val="00E21641"/>
    <w:rsid w:val="00E22C8C"/>
    <w:rsid w:val="00E3547F"/>
    <w:rsid w:val="00E42BB5"/>
    <w:rsid w:val="00E70909"/>
    <w:rsid w:val="00E8250F"/>
    <w:rsid w:val="00E834FE"/>
    <w:rsid w:val="00E86F0B"/>
    <w:rsid w:val="00EA56E4"/>
    <w:rsid w:val="00ED1F2E"/>
    <w:rsid w:val="00ED5A80"/>
    <w:rsid w:val="00EE12A7"/>
    <w:rsid w:val="00EE73E5"/>
    <w:rsid w:val="00F02915"/>
    <w:rsid w:val="00F05C18"/>
    <w:rsid w:val="00F3706D"/>
    <w:rsid w:val="00F55B52"/>
    <w:rsid w:val="00F913BE"/>
    <w:rsid w:val="00FB4A1E"/>
    <w:rsid w:val="00FB6791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1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2447C"/>
    <w:pPr>
      <w:ind w:left="720"/>
      <w:contextualSpacing/>
    </w:pPr>
  </w:style>
  <w:style w:type="table" w:styleId="a5">
    <w:name w:val="Table Grid"/>
    <w:basedOn w:val="a1"/>
    <w:uiPriority w:val="59"/>
    <w:rsid w:val="0097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1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2447C"/>
    <w:pPr>
      <w:ind w:left="720"/>
      <w:contextualSpacing/>
    </w:pPr>
  </w:style>
  <w:style w:type="table" w:styleId="a5">
    <w:name w:val="Table Grid"/>
    <w:basedOn w:val="a1"/>
    <w:uiPriority w:val="59"/>
    <w:rsid w:val="0097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1A13-74D4-43F1-8632-69FFA917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2</cp:revision>
  <cp:lastPrinted>2024-07-05T04:37:00Z</cp:lastPrinted>
  <dcterms:created xsi:type="dcterms:W3CDTF">2024-07-05T04:41:00Z</dcterms:created>
  <dcterms:modified xsi:type="dcterms:W3CDTF">2024-07-05T04:41:00Z</dcterms:modified>
</cp:coreProperties>
</file>